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0C" w:rsidRDefault="00561A0C" w:rsidP="00561A0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2.Τα </w:t>
      </w:r>
      <w:r>
        <w:rPr>
          <w:rFonts w:ascii="Arial" w:hAnsi="Arial" w:cs="Arial"/>
          <w:b/>
          <w:i/>
          <w:iCs/>
        </w:rPr>
        <w:t xml:space="preserve">ποτήρια  </w:t>
      </w:r>
      <w:r>
        <w:rPr>
          <w:rFonts w:ascii="Arial" w:hAnsi="Arial" w:cs="Arial"/>
          <w:i/>
          <w:iCs/>
        </w:rPr>
        <w:t xml:space="preserve">να είναι </w:t>
      </w:r>
      <w:r>
        <w:rPr>
          <w:rFonts w:ascii="Arial" w:hAnsi="Arial" w:cs="Arial"/>
        </w:rPr>
        <w:t xml:space="preserve"> κατασκευασμένα από υλικό  τέτοιο ώστε να τα καθιστά ιδανικά για το σερβίρισμα ζεστών ή κρύων φαγητών και ροφημάτων αντίστοιχα, διατηρώντας την θερμοκρασία σταθερή για μεγάλο χρονικό διάστημα. Να φέρουν το σήμα καταλληλότητας τροφίμων.  </w:t>
      </w:r>
    </w:p>
    <w:p w:rsidR="00573A74" w:rsidRDefault="00573A74"/>
    <w:p w:rsidR="009B73BC" w:rsidRDefault="009B73BC"/>
    <w:p w:rsidR="00BE50A7" w:rsidRDefault="009B73BC" w:rsidP="009B73B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Pr="00E00280">
        <w:rPr>
          <w:rFonts w:ascii="Arial" w:hAnsi="Arial" w:cs="Arial"/>
          <w:b/>
        </w:rPr>
        <w:t>Οι σφουγγαρίστρες</w:t>
      </w:r>
      <w:r>
        <w:rPr>
          <w:rFonts w:ascii="Arial" w:hAnsi="Arial" w:cs="Arial"/>
        </w:rPr>
        <w:t xml:space="preserve"> οι διπλές να είναι με </w:t>
      </w:r>
      <w:r w:rsidR="00CD1BCC">
        <w:rPr>
          <w:rFonts w:ascii="Arial" w:hAnsi="Arial" w:cs="Arial"/>
        </w:rPr>
        <w:t xml:space="preserve">νήμα </w:t>
      </w:r>
      <w:proofErr w:type="spellStart"/>
      <w:r w:rsidR="00CD1BCC">
        <w:rPr>
          <w:rFonts w:ascii="Arial" w:hAnsi="Arial" w:cs="Arial"/>
          <w:lang w:val="en-US"/>
        </w:rPr>
        <w:t>microfibra</w:t>
      </w:r>
      <w:proofErr w:type="spellEnd"/>
      <w:r w:rsidR="00CD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μεγάλης απορροφητικότητας, χωρίς να αφήνει χνούδια. Οι άκρες του νήματος να είναι γυρισμένες και ραμμένες προς τα μέσα, έτσι ώστε να μην ξεφτίζουν και να καθαρίζουν εύκολα .</w:t>
      </w:r>
    </w:p>
    <w:p w:rsidR="00BE50A7" w:rsidRDefault="00BE50A7" w:rsidP="009B73BC">
      <w:pPr>
        <w:ind w:left="360"/>
        <w:jc w:val="both"/>
        <w:rPr>
          <w:rFonts w:ascii="Arial" w:hAnsi="Arial" w:cs="Arial"/>
        </w:rPr>
      </w:pPr>
    </w:p>
    <w:p w:rsidR="00BE50A7" w:rsidRDefault="00BE50A7" w:rsidP="009B73BC">
      <w:pPr>
        <w:ind w:left="360"/>
        <w:jc w:val="both"/>
        <w:rPr>
          <w:rFonts w:ascii="Arial" w:hAnsi="Arial" w:cs="Arial"/>
        </w:rPr>
      </w:pPr>
    </w:p>
    <w:p w:rsidR="009B73BC" w:rsidRDefault="009B73BC" w:rsidP="009B73BC">
      <w:pPr>
        <w:ind w:left="360"/>
        <w:jc w:val="both"/>
        <w:rPr>
          <w:rFonts w:ascii="Arial" w:hAnsi="Arial" w:cs="Arial"/>
        </w:rPr>
      </w:pPr>
    </w:p>
    <w:p w:rsidR="00BE50A7" w:rsidRPr="00BC1E16" w:rsidRDefault="00BE50A7" w:rsidP="00BE50A7">
      <w:pPr>
        <w:pStyle w:val="a3"/>
        <w:spacing w:before="240"/>
        <w:ind w:left="0"/>
        <w:rPr>
          <w:rFonts w:ascii="Arial" w:hAnsi="Arial" w:cs="Arial"/>
          <w:sz w:val="24"/>
          <w:szCs w:val="24"/>
        </w:rPr>
      </w:pPr>
      <w:r w:rsidRPr="00BE50A7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Οι σακούλες οι οποίες προορίζονται για τη συλλογή ΕΑΑΜ (Επικίνδυνα, Απόβλητα, Αμιγώς Μολυσματικών) τα οποία προορίζονται προς αποστείρωση πρέπει να έχουν τις εξής προδιαγραφές</w:t>
      </w:r>
      <w:r w:rsidRPr="00BC1E16">
        <w:rPr>
          <w:rFonts w:ascii="Arial" w:hAnsi="Arial" w:cs="Arial"/>
          <w:sz w:val="24"/>
          <w:szCs w:val="24"/>
        </w:rPr>
        <w:t>: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μιας χρήσεως,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αδιαφανείς,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κίτρινου χρώματος,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ανθεκτικές στις θερμοκρασίες που αναπτύσσονται κατά την αποστείρωση,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ανθεκτικές κατά την μεταφορά,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έχουν το διεθνές σύμβολο και την αντίστοιχη σήμανση του μολυσματικού, ανάλογα με την κλάση </w:t>
      </w:r>
      <w:r>
        <w:rPr>
          <w:rFonts w:ascii="Arial" w:hAnsi="Arial" w:cs="Arial"/>
          <w:sz w:val="24"/>
          <w:szCs w:val="24"/>
          <w:lang w:val="en-US"/>
        </w:rPr>
        <w:t>UN</w:t>
      </w:r>
      <w:r w:rsidRPr="00BA2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στην</w:t>
      </w:r>
      <w:r w:rsidRPr="008B7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οποία αυτά κατατάσσονται,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αναγράφουν την κλάση και τον αριθμό </w:t>
      </w:r>
      <w:r>
        <w:rPr>
          <w:rFonts w:ascii="Arial" w:hAnsi="Arial" w:cs="Arial"/>
          <w:sz w:val="24"/>
          <w:szCs w:val="24"/>
          <w:lang w:val="en-US"/>
        </w:rPr>
        <w:t>UN</w:t>
      </w:r>
      <w:r w:rsidRPr="00BA2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ως προς την επικινδυνότητά τους,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χαρακτηρίζονται με τον όρο «επικίνδυνα απόβλητα αμιγώς μολυσματικά ΕΑΑΜ»,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είναι κατάλληλου πάχους και υλικού,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είναι φιλικές προς το περιβάλλον,</w:t>
      </w:r>
    </w:p>
    <w:p w:rsidR="00BE50A7" w:rsidRDefault="00BE50A7" w:rsidP="00BE50A7">
      <w:pPr>
        <w:pStyle w:val="a3"/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φέρουν ενσωματωμένη αδιάβροχη ετικέτα από ανεξίτηλο μελάνη και να αναγράφουν</w:t>
      </w:r>
      <w:r w:rsidRPr="00CB672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ημερομηνία παραγωγής, ακριβή θέση παραγωγής.</w:t>
      </w:r>
    </w:p>
    <w:p w:rsidR="009B73BC" w:rsidRDefault="009B73BC"/>
    <w:p w:rsidR="00BE50A7" w:rsidRDefault="00BE50A7"/>
    <w:p w:rsidR="00BE50A7" w:rsidRDefault="00BE50A7"/>
    <w:p w:rsidR="00BE50A7" w:rsidRPr="00CF1E11" w:rsidRDefault="00BE50A7" w:rsidP="00BE50A7">
      <w:pPr>
        <w:rPr>
          <w:rFonts w:ascii="Arial" w:hAnsi="Arial" w:cs="Arial"/>
          <w:sz w:val="24"/>
          <w:szCs w:val="24"/>
        </w:rPr>
      </w:pPr>
      <w:r w:rsidRPr="00BE50A7">
        <w:rPr>
          <w:rFonts w:ascii="Arial" w:hAnsi="Arial" w:cs="Arial"/>
          <w:b/>
          <w:sz w:val="24"/>
          <w:szCs w:val="24"/>
        </w:rPr>
        <w:t>3.</w:t>
      </w:r>
      <w:r w:rsidRPr="00CF1E11">
        <w:rPr>
          <w:rFonts w:ascii="Arial" w:hAnsi="Arial" w:cs="Arial"/>
          <w:sz w:val="24"/>
          <w:szCs w:val="24"/>
        </w:rPr>
        <w:t>Οι σακούλες οι οποίες προορίζονται για την συλλογή ΜΕΑ (Μεικτά, επικίνδυνα απόβλητα) τα οποία προορίζονται προς απ</w:t>
      </w:r>
      <w:r>
        <w:rPr>
          <w:rFonts w:ascii="Arial" w:hAnsi="Arial" w:cs="Arial"/>
          <w:sz w:val="24"/>
          <w:szCs w:val="24"/>
        </w:rPr>
        <w:t>ο</w:t>
      </w:r>
      <w:r w:rsidRPr="00CF1E11">
        <w:rPr>
          <w:rFonts w:ascii="Arial" w:hAnsi="Arial" w:cs="Arial"/>
          <w:sz w:val="24"/>
          <w:szCs w:val="24"/>
        </w:rPr>
        <w:t>τέφρωση πρέπει να έχουν τις εξής προδιαγραφές:</w:t>
      </w:r>
    </w:p>
    <w:p w:rsidR="00BE50A7" w:rsidRDefault="00BE50A7" w:rsidP="00BE50A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Pr="00CF1E11">
        <w:rPr>
          <w:rFonts w:ascii="Arial" w:hAnsi="Arial" w:cs="Arial"/>
          <w:sz w:val="24"/>
          <w:szCs w:val="24"/>
        </w:rPr>
        <w:t>ιας χρήσεως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E50A7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κόκκινου χρώματος,</w:t>
      </w:r>
    </w:p>
    <w:p w:rsidR="00BE50A7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είναι κατάλληλου πάχους και υλικού, μη </w:t>
      </w:r>
      <w:proofErr w:type="spellStart"/>
      <w:r>
        <w:rPr>
          <w:rFonts w:ascii="Arial" w:hAnsi="Arial" w:cs="Arial"/>
          <w:sz w:val="24"/>
          <w:szCs w:val="24"/>
        </w:rPr>
        <w:t>παραμορφούμενες</w:t>
      </w:r>
      <w:proofErr w:type="spellEnd"/>
      <w:r>
        <w:rPr>
          <w:rFonts w:ascii="Arial" w:hAnsi="Arial" w:cs="Arial"/>
          <w:sz w:val="24"/>
          <w:szCs w:val="24"/>
        </w:rPr>
        <w:t xml:space="preserve"> για ασφαλή μεταφορά,</w:t>
      </w:r>
    </w:p>
    <w:p w:rsidR="00BE50A7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κατάλληλου βάρους και όγκου για την εύκολη μεταφορά τους,</w:t>
      </w:r>
    </w:p>
    <w:p w:rsidR="00BE50A7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είναι τέτοιου υλικού ώστε κατά την αποτέφρωσή τους να μην παράγονται επικίνδυνα αέρια,</w:t>
      </w:r>
    </w:p>
    <w:p w:rsidR="00BE50A7" w:rsidRPr="0044357B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είναι φιλικές προς το περιβάλλον</w:t>
      </w:r>
      <w:r w:rsidRPr="0044357B">
        <w:rPr>
          <w:rFonts w:ascii="Arial" w:hAnsi="Arial" w:cs="Arial"/>
          <w:sz w:val="24"/>
          <w:szCs w:val="24"/>
        </w:rPr>
        <w:t>,</w:t>
      </w:r>
    </w:p>
    <w:p w:rsidR="00BE50A7" w:rsidRDefault="00BE50A7" w:rsidP="00BE50A7">
      <w:pPr>
        <w:pStyle w:val="a3"/>
        <w:numPr>
          <w:ilvl w:val="0"/>
          <w:numId w:val="3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να έχουν διεθνές σύμβολο και σήμανση του μολυσματικού και του επικίνδυνου,</w:t>
      </w:r>
    </w:p>
    <w:p w:rsidR="00BE50A7" w:rsidRDefault="00BE50A7" w:rsidP="00BE50A7">
      <w:pPr>
        <w:pStyle w:val="a3"/>
        <w:spacing w:before="240"/>
        <w:ind w:left="0"/>
        <w:rPr>
          <w:rFonts w:ascii="Arial" w:hAnsi="Arial" w:cs="Arial"/>
          <w:sz w:val="24"/>
          <w:szCs w:val="24"/>
        </w:rPr>
      </w:pPr>
    </w:p>
    <w:p w:rsidR="00BE50A7" w:rsidRDefault="00BE50A7" w:rsidP="00BE50A7">
      <w:pPr>
        <w:pStyle w:val="a3"/>
        <w:tabs>
          <w:tab w:val="left" w:pos="3686"/>
        </w:tabs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σακούλες απορριμμάτων και αποβλήτων να είναι από πολυαιθυλένιο χαμηλής πυκνότητας (</w:t>
      </w:r>
      <w:r>
        <w:rPr>
          <w:rFonts w:ascii="Arial" w:hAnsi="Arial" w:cs="Arial"/>
          <w:sz w:val="24"/>
          <w:szCs w:val="24"/>
          <w:lang w:val="en-US"/>
        </w:rPr>
        <w:t>LDPE</w:t>
      </w:r>
      <w:r>
        <w:rPr>
          <w:rFonts w:ascii="Arial" w:hAnsi="Arial" w:cs="Arial"/>
          <w:sz w:val="24"/>
          <w:szCs w:val="24"/>
        </w:rPr>
        <w:t>)</w:t>
      </w:r>
      <w:r w:rsidRPr="00FC2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ή υψηλής πυκνότητας (Η</w:t>
      </w:r>
      <w:r>
        <w:rPr>
          <w:rFonts w:ascii="Arial" w:hAnsi="Arial" w:cs="Arial"/>
          <w:sz w:val="24"/>
          <w:szCs w:val="24"/>
          <w:lang w:val="en-US"/>
        </w:rPr>
        <w:t>DPE</w:t>
      </w:r>
      <w:r>
        <w:rPr>
          <w:rFonts w:ascii="Arial" w:hAnsi="Arial" w:cs="Arial"/>
          <w:sz w:val="24"/>
          <w:szCs w:val="24"/>
        </w:rPr>
        <w:t>) ή πολυπροπυλένιο (</w:t>
      </w:r>
      <w:r>
        <w:rPr>
          <w:rFonts w:ascii="Arial" w:hAnsi="Arial" w:cs="Arial"/>
          <w:sz w:val="24"/>
          <w:szCs w:val="24"/>
          <w:lang w:val="en-US"/>
        </w:rPr>
        <w:t>PP</w:t>
      </w:r>
      <w:r w:rsidRPr="00F32F8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πάχους τουλάχιστον 1,5 </w:t>
      </w:r>
      <w:r>
        <w:rPr>
          <w:rFonts w:ascii="Arial" w:hAnsi="Arial" w:cs="Arial"/>
          <w:sz w:val="24"/>
          <w:szCs w:val="24"/>
          <w:lang w:val="en-US"/>
        </w:rPr>
        <w:t>mm</w:t>
      </w:r>
      <w:r w:rsidRPr="00382173">
        <w:rPr>
          <w:rFonts w:ascii="Arial" w:hAnsi="Arial" w:cs="Arial"/>
          <w:sz w:val="24"/>
          <w:szCs w:val="24"/>
        </w:rPr>
        <w:t xml:space="preserve"> </w:t>
      </w:r>
      <w:r w:rsidRPr="00FC2D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όλων των διαστάσεων και χρωμάτων να είναι ανθεκτικές, χονδρές, ώστε να μην σχίζονται εύκολα με το βάρος των απορριμμάτων.</w:t>
      </w:r>
    </w:p>
    <w:p w:rsidR="00BE50A7" w:rsidRDefault="00BE50A7" w:rsidP="00BE50A7">
      <w:pPr>
        <w:pStyle w:val="a3"/>
        <w:tabs>
          <w:tab w:val="left" w:pos="3686"/>
        </w:tabs>
        <w:spacing w:before="240"/>
        <w:ind w:left="0"/>
        <w:rPr>
          <w:rFonts w:ascii="Arial" w:hAnsi="Arial" w:cs="Arial"/>
          <w:sz w:val="24"/>
          <w:szCs w:val="24"/>
        </w:rPr>
      </w:pPr>
    </w:p>
    <w:p w:rsidR="00BE50A7" w:rsidRDefault="00BE50A7" w:rsidP="00BE50A7">
      <w:pPr>
        <w:pStyle w:val="a3"/>
        <w:tabs>
          <w:tab w:val="left" w:pos="3686"/>
        </w:tabs>
        <w:spacing w:before="240"/>
        <w:ind w:left="0"/>
        <w:rPr>
          <w:rFonts w:ascii="Arial" w:hAnsi="Arial" w:cs="Arial"/>
          <w:sz w:val="24"/>
          <w:szCs w:val="24"/>
        </w:rPr>
      </w:pPr>
    </w:p>
    <w:p w:rsidR="001A3CA4" w:rsidRPr="00BF0095" w:rsidRDefault="001A3CA4" w:rsidP="001A3CA4">
      <w:pPr>
        <w:spacing w:line="360" w:lineRule="auto"/>
        <w:ind w:firstLine="720"/>
        <w:rPr>
          <w:rFonts w:ascii="Arial" w:hAnsi="Arial" w:cs="Arial"/>
          <w:b/>
          <w:i/>
        </w:rPr>
      </w:pPr>
      <w:r w:rsidRPr="00BF0095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1.</w:t>
      </w:r>
      <w:r w:rsidRPr="00BF0095">
        <w:rPr>
          <w:rFonts w:ascii="Arial" w:hAnsi="Arial" w:cs="Arial"/>
          <w:b/>
        </w:rPr>
        <w:t xml:space="preserve">   </w:t>
      </w:r>
      <w:r w:rsidRPr="00BF0095">
        <w:rPr>
          <w:rFonts w:ascii="Arial" w:hAnsi="Arial" w:cs="Arial"/>
          <w:b/>
          <w:i/>
        </w:rPr>
        <w:t xml:space="preserve">Καθαριστικό τζαμιών με ψεκαστήρα 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ind w:left="1080" w:right="180"/>
        <w:rPr>
          <w:rFonts w:ascii="Arial" w:hAnsi="Arial" w:cs="Arial"/>
        </w:rPr>
      </w:pPr>
      <w:r w:rsidRPr="00BF0095">
        <w:rPr>
          <w:rFonts w:ascii="Arial" w:hAnsi="Arial" w:cs="Arial"/>
        </w:rPr>
        <w:t>Το προϊόν να είναι συμπυκνωμένο υγρό κατάλληλο για καθαρισμό τζαμιών.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ind w:left="1080" w:right="180"/>
        <w:rPr>
          <w:rFonts w:ascii="Arial" w:hAnsi="Arial" w:cs="Arial"/>
        </w:rPr>
      </w:pPr>
      <w:r w:rsidRPr="00BF0095">
        <w:rPr>
          <w:rFonts w:ascii="Arial" w:hAnsi="Arial" w:cs="Arial"/>
        </w:rPr>
        <w:t>Να είναι κατάλληλο για επαγγελματική χρήση.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ind w:left="1080" w:right="180"/>
        <w:rPr>
          <w:rFonts w:ascii="Arial" w:hAnsi="Arial" w:cs="Arial"/>
        </w:rPr>
      </w:pPr>
      <w:r w:rsidRPr="00BF0095">
        <w:rPr>
          <w:rFonts w:ascii="Arial" w:hAnsi="Arial" w:cs="Arial"/>
        </w:rPr>
        <w:t xml:space="preserve">Να περιέχει αλκοόλη και να αφήνει ευχάριστο άρωμα. 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ind w:left="1080" w:right="180"/>
        <w:rPr>
          <w:rFonts w:ascii="Arial" w:hAnsi="Arial" w:cs="Arial"/>
        </w:rPr>
      </w:pPr>
      <w:r w:rsidRPr="00BF0095">
        <w:rPr>
          <w:rFonts w:ascii="Arial" w:hAnsi="Arial" w:cs="Arial"/>
        </w:rPr>
        <w:t>Να στεγνώνει αμέσως .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spacing w:after="0"/>
        <w:ind w:left="1080" w:right="180"/>
        <w:jc w:val="both"/>
        <w:rPr>
          <w:rFonts w:ascii="Arial" w:hAnsi="Arial" w:cs="Arial"/>
        </w:rPr>
      </w:pPr>
      <w:r w:rsidRPr="00BF0095">
        <w:rPr>
          <w:rFonts w:ascii="Arial" w:hAnsi="Arial" w:cs="Arial"/>
        </w:rPr>
        <w:t xml:space="preserve">Να μην αφήνει θαμπάδες και στίγματα. </w:t>
      </w:r>
    </w:p>
    <w:p w:rsidR="001A3CA4" w:rsidRPr="00BF0095" w:rsidRDefault="001A3CA4" w:rsidP="001A3CA4">
      <w:pPr>
        <w:pStyle w:val="a3"/>
        <w:numPr>
          <w:ilvl w:val="0"/>
          <w:numId w:val="4"/>
        </w:numPr>
        <w:tabs>
          <w:tab w:val="left" w:pos="-360"/>
          <w:tab w:val="left" w:pos="8570"/>
        </w:tabs>
        <w:spacing w:after="0"/>
        <w:ind w:left="1080" w:right="180"/>
        <w:jc w:val="both"/>
        <w:rPr>
          <w:rFonts w:ascii="Arial" w:hAnsi="Arial" w:cs="Arial"/>
        </w:rPr>
      </w:pPr>
      <w:r w:rsidRPr="00BF0095">
        <w:rPr>
          <w:rFonts w:ascii="Arial" w:hAnsi="Arial" w:cs="Arial"/>
        </w:rPr>
        <w:t xml:space="preserve">Να φέρει σήμανση </w:t>
      </w:r>
      <w:r w:rsidRPr="00BF0095">
        <w:rPr>
          <w:rFonts w:ascii="Arial" w:hAnsi="Arial" w:cs="Arial"/>
          <w:lang w:val="en-US"/>
        </w:rPr>
        <w:t>CE</w:t>
      </w:r>
    </w:p>
    <w:p w:rsidR="001A3CA4" w:rsidRPr="00BF0095" w:rsidRDefault="001A3CA4" w:rsidP="001A3CA4">
      <w:pPr>
        <w:pStyle w:val="a3"/>
        <w:tabs>
          <w:tab w:val="left" w:pos="-360"/>
          <w:tab w:val="left" w:pos="8570"/>
        </w:tabs>
        <w:spacing w:after="0"/>
        <w:ind w:left="1080" w:right="180"/>
        <w:jc w:val="both"/>
        <w:rPr>
          <w:rFonts w:ascii="Arial" w:hAnsi="Arial" w:cs="Arial"/>
        </w:rPr>
      </w:pPr>
    </w:p>
    <w:p w:rsidR="00BE50A7" w:rsidRDefault="00BE50A7"/>
    <w:sectPr w:rsidR="00BE50A7" w:rsidSect="00573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47E"/>
    <w:multiLevelType w:val="hybridMultilevel"/>
    <w:tmpl w:val="0D9697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01051"/>
    <w:multiLevelType w:val="hybridMultilevel"/>
    <w:tmpl w:val="645EC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00175"/>
    <w:multiLevelType w:val="hybridMultilevel"/>
    <w:tmpl w:val="2206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30EDB"/>
    <w:multiLevelType w:val="hybridMultilevel"/>
    <w:tmpl w:val="056203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A0C"/>
    <w:rsid w:val="000D7DB0"/>
    <w:rsid w:val="001A3CA4"/>
    <w:rsid w:val="00524917"/>
    <w:rsid w:val="00561A0C"/>
    <w:rsid w:val="00573A74"/>
    <w:rsid w:val="009B73BC"/>
    <w:rsid w:val="00BE50A7"/>
    <w:rsid w:val="00CD1BCC"/>
    <w:rsid w:val="00C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B767-B419-4B2A-880C-5683D1A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kotsarinia</dc:creator>
  <cp:lastModifiedBy>kotsarinia</cp:lastModifiedBy>
  <cp:revision>3</cp:revision>
  <dcterms:created xsi:type="dcterms:W3CDTF">2019-10-01T10:24:00Z</dcterms:created>
  <dcterms:modified xsi:type="dcterms:W3CDTF">2019-10-15T07:25:00Z</dcterms:modified>
</cp:coreProperties>
</file>