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9F0A8C" w:rsidRDefault="006B12E4" w:rsidP="009F0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40"/>
          <w:szCs w:val="40"/>
        </w:rPr>
        <w:t>1</w:t>
      </w:r>
      <w:r w:rsidR="00E103DC">
        <w:rPr>
          <w:b/>
          <w:sz w:val="40"/>
          <w:szCs w:val="40"/>
        </w:rPr>
        <w:t>)</w:t>
      </w:r>
      <w:r w:rsidR="009F0A8C" w:rsidRPr="009F0A8C">
        <w:rPr>
          <w:rFonts w:ascii="Arial" w:hAnsi="Arial" w:cs="Arial"/>
          <w:b/>
          <w:sz w:val="20"/>
          <w:szCs w:val="20"/>
        </w:rPr>
        <w:t xml:space="preserve"> </w:t>
      </w:r>
      <w:r w:rsidR="009F0A8C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9F0A8C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9F0A8C" w:rsidRPr="007D0770" w:rsidRDefault="009F0A8C" w:rsidP="009F0A8C">
      <w:pPr>
        <w:jc w:val="both"/>
        <w:rPr>
          <w:rFonts w:ascii="Arial" w:hAnsi="Arial" w:cs="Arial"/>
          <w:b/>
          <w:sz w:val="20"/>
          <w:szCs w:val="20"/>
        </w:rPr>
      </w:pPr>
    </w:p>
    <w:p w:rsidR="009F0A8C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9F0A8C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9F0A8C" w:rsidRPr="007D0770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9F0A8C" w:rsidRDefault="009F0A8C" w:rsidP="009F0A8C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AD70B5" w:rsidRPr="00AC1251" w:rsidRDefault="00AD70B5" w:rsidP="00AD70B5">
      <w:pPr>
        <w:rPr>
          <w:b/>
          <w:sz w:val="28"/>
          <w:szCs w:val="28"/>
        </w:rPr>
      </w:pPr>
      <w:r w:rsidRPr="00AD70B5">
        <w:rPr>
          <w:rFonts w:ascii="Arial" w:hAnsi="Arial" w:cs="Arial"/>
          <w:b/>
          <w:sz w:val="36"/>
          <w:szCs w:val="36"/>
        </w:rPr>
        <w:t>2)</w:t>
      </w:r>
      <w:r w:rsidRPr="00AD70B5">
        <w:rPr>
          <w:b/>
          <w:sz w:val="28"/>
          <w:szCs w:val="28"/>
        </w:rPr>
        <w:t xml:space="preserve"> </w:t>
      </w:r>
      <w:r w:rsidRPr="00AC1251">
        <w:rPr>
          <w:b/>
          <w:sz w:val="28"/>
          <w:szCs w:val="28"/>
        </w:rPr>
        <w:t>ΜΟΝΑΔΑ ΜΕΣΟΓΕΙΑΚΗΣ ΑΝΑΙΜΙΑΣ</w:t>
      </w:r>
    </w:p>
    <w:p w:rsidR="00AD70B5" w:rsidRPr="007D5911" w:rsidRDefault="00AD70B5" w:rsidP="00AD70B5">
      <w:pPr>
        <w:rPr>
          <w:sz w:val="28"/>
          <w:szCs w:val="28"/>
        </w:rPr>
      </w:pPr>
    </w:p>
    <w:p w:rsidR="00AD70B5" w:rsidRPr="00AC1251" w:rsidRDefault="00AD70B5" w:rsidP="00AD70B5">
      <w:pPr>
        <w:jc w:val="center"/>
        <w:rPr>
          <w:rFonts w:ascii="Arial" w:hAnsi="Arial" w:cs="Arial"/>
          <w:b/>
          <w:sz w:val="28"/>
          <w:szCs w:val="28"/>
        </w:rPr>
      </w:pPr>
      <w:r w:rsidRPr="00AC1251">
        <w:rPr>
          <w:rFonts w:ascii="Arial" w:hAnsi="Arial" w:cs="Arial"/>
          <w:b/>
          <w:sz w:val="28"/>
          <w:szCs w:val="28"/>
        </w:rPr>
        <w:t>Συσκευές  μετάγγισης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έχει άριστη ποιότητα πλαστικού αυλού από απόλυτα διαυγές ,</w:t>
      </w:r>
      <w:r w:rsidRPr="00D84C9E">
        <w:rPr>
          <w:rFonts w:ascii="Arial" w:hAnsi="Arial" w:cs="Arial"/>
          <w:lang w:val="en-US"/>
        </w:rPr>
        <w:t>Medical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Grade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PVC</w:t>
      </w:r>
      <w:r w:rsidRPr="00D84C9E">
        <w:rPr>
          <w:rFonts w:ascii="Arial" w:hAnsi="Arial" w:cs="Arial"/>
        </w:rPr>
        <w:t>, για καλύτερη ορατότητα και έλεγχο της ποιότητας μετάγγισης του αίματος.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φίλτρο αίματος ηθμού 170μ-210μ. ικανής διηθητικής επιφάνειας ώστε να επιτυγχάνεται η αφαίρεση πηγμάτων χωρίς να δυσκολεύεται η ροή του αίματος 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διπλό συγκοινωνούντα σταγονομετρικό  θάλαμο από </w:t>
      </w:r>
      <w:proofErr w:type="spellStart"/>
      <w:r w:rsidRPr="00D84C9E">
        <w:rPr>
          <w:rFonts w:ascii="Arial" w:hAnsi="Arial" w:cs="Arial"/>
        </w:rPr>
        <w:t>ευπίεστη</w:t>
      </w:r>
      <w:proofErr w:type="spellEnd"/>
      <w:r w:rsidRPr="00D84C9E">
        <w:rPr>
          <w:rFonts w:ascii="Arial" w:hAnsi="Arial" w:cs="Arial"/>
        </w:rPr>
        <w:t xml:space="preserve">  πλαστική ύλη με δυνατότητα επακριβούς σταγονομετρικής ρύθμισης της ροής ,δυνατότητα απεμπλοκής και χορήγησης ταχείας μετάγγισης.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εδικό ρυθμιστή ροής  </w:t>
      </w:r>
      <w:r w:rsidRPr="00D84C9E">
        <w:rPr>
          <w:rFonts w:ascii="Arial" w:hAnsi="Arial" w:cs="Arial"/>
          <w:lang w:val="en-US"/>
        </w:rPr>
        <w:t>roller</w:t>
      </w:r>
      <w:r w:rsidRPr="00D84C9E">
        <w:rPr>
          <w:rFonts w:ascii="Arial" w:hAnsi="Arial" w:cs="Arial"/>
        </w:rPr>
        <w:t xml:space="preserve"> </w:t>
      </w:r>
      <w:r w:rsidRPr="00D84C9E">
        <w:rPr>
          <w:rFonts w:ascii="Arial" w:hAnsi="Arial" w:cs="Arial"/>
          <w:lang w:val="en-US"/>
        </w:rPr>
        <w:t>clamp</w:t>
      </w:r>
      <w:r w:rsidRPr="00D84C9E">
        <w:rPr>
          <w:rFonts w:ascii="Arial" w:hAnsi="Arial" w:cs="Arial"/>
        </w:rPr>
        <w:t xml:space="preserve"> για σταθερότητα ρύθμισης ροής.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lastRenderedPageBreak/>
        <w:t>Να έχει μεγάλο μήκος συσκευής  170</w:t>
      </w:r>
      <w:r w:rsidRPr="00D84C9E">
        <w:rPr>
          <w:rFonts w:ascii="Arial" w:hAnsi="Arial" w:cs="Arial"/>
          <w:lang w:val="en-US"/>
        </w:rPr>
        <w:t>cm</w:t>
      </w:r>
      <w:r w:rsidRPr="00D84C9E">
        <w:rPr>
          <w:rFonts w:ascii="Arial" w:hAnsi="Arial" w:cs="Arial"/>
        </w:rPr>
        <w:t xml:space="preserve"> για ευχέρεια πρόσβασης από τον ασκό προς τον μεταγγιζόμενο ασθενή.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διαθέτει ρύγχος συσκευής ικανού μήκους , κατάλληλης σκληρότητας και διαμέτρου έτσι ώστε να μπορεί να τρυπήσει όλους τους τύπους ασκών χωρίς να τσακίζει και χωρίς την πιθανότητα καταστροφής αυτών(σκίσιμο ή τρύπημα του ασκού και της υποδοχής του.)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 xml:space="preserve">Να διαθέτει ενσωματωμένη υποδοχή έγχυσης ενέσιμων από σιλικόνη (όχι </w:t>
      </w:r>
      <w:r w:rsidRPr="00D84C9E">
        <w:rPr>
          <w:rFonts w:ascii="Arial" w:hAnsi="Arial" w:cs="Arial"/>
          <w:lang w:val="en-US"/>
        </w:rPr>
        <w:t>latex</w:t>
      </w:r>
      <w:r w:rsidRPr="00D84C9E">
        <w:rPr>
          <w:rFonts w:ascii="Arial" w:hAnsi="Arial" w:cs="Arial"/>
        </w:rPr>
        <w:t>) για την ασφαλή προσθήκη ενέσιμων και ασφαλέστερη αποστείρωση.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είναι συσκευασμένο σε ατομική συσκευασία σε ανθεκτικό φύλλο πλαστικού με εύκολο και ασφαλές άνοιγμα.</w:t>
      </w:r>
    </w:p>
    <w:p w:rsidR="00AD70B5" w:rsidRPr="00D84C9E" w:rsidRDefault="00AD70B5" w:rsidP="00AD70B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84C9E">
        <w:rPr>
          <w:rFonts w:ascii="Arial" w:hAnsi="Arial" w:cs="Arial"/>
        </w:rPr>
        <w:t>Να έχουν εγκρίσεις κυκλοφορίας των αρμόδιων αρχών της Ευρωπαϊκής Ένωσης</w:t>
      </w:r>
    </w:p>
    <w:p w:rsidR="00AD70B5" w:rsidRDefault="00AD70B5" w:rsidP="00AD70B5">
      <w:pPr>
        <w:rPr>
          <w:rFonts w:ascii="Calibri" w:eastAsia="Calibri" w:hAnsi="Calibri" w:cs="Times New Roman"/>
          <w:b/>
          <w:sz w:val="24"/>
        </w:rPr>
      </w:pPr>
      <w:r>
        <w:rPr>
          <w:rFonts w:ascii="Arial" w:hAnsi="Arial" w:cs="Arial"/>
          <w:b/>
          <w:sz w:val="36"/>
          <w:szCs w:val="36"/>
        </w:rPr>
        <w:t>3)</w:t>
      </w:r>
    </w:p>
    <w:p w:rsidR="00AD70B5" w:rsidRPr="00E90742" w:rsidRDefault="00AD70B5" w:rsidP="00AD70B5">
      <w:pPr>
        <w:jc w:val="center"/>
        <w:rPr>
          <w:rFonts w:ascii="Calibri" w:eastAsia="Calibri" w:hAnsi="Calibri" w:cs="Times New Roman"/>
          <w:b/>
          <w:sz w:val="24"/>
        </w:rPr>
      </w:pPr>
      <w:r w:rsidRPr="00744BB2">
        <w:rPr>
          <w:rFonts w:ascii="Calibri" w:eastAsia="Calibri" w:hAnsi="Calibri" w:cs="Times New Roman"/>
          <w:b/>
          <w:sz w:val="24"/>
        </w:rPr>
        <w:t xml:space="preserve">ΣΕΤ ΚΛΕΙΣΤΟΥ ΣΥΣΤΗΜΑΤΟΣ </w:t>
      </w:r>
    </w:p>
    <w:p w:rsidR="00AD70B5" w:rsidRDefault="00AD70B5" w:rsidP="00AD70B5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ΑΣΦΑΛΟΥΣ </w:t>
      </w:r>
      <w:r w:rsidRPr="00744BB2">
        <w:rPr>
          <w:rFonts w:ascii="Calibri" w:eastAsia="Calibri" w:hAnsi="Calibri" w:cs="Times New Roman"/>
          <w:b/>
          <w:sz w:val="24"/>
        </w:rPr>
        <w:t xml:space="preserve"> ΠΑΡΑΚΕΝΤΗΣΗΣ</w:t>
      </w:r>
      <w:r w:rsidRPr="00E90742">
        <w:rPr>
          <w:rFonts w:ascii="Calibri" w:eastAsia="Calibri" w:hAnsi="Calibri" w:cs="Times New Roman"/>
          <w:b/>
          <w:sz w:val="24"/>
        </w:rPr>
        <w:t xml:space="preserve"> </w:t>
      </w:r>
      <w:r w:rsidRPr="00744BB2">
        <w:rPr>
          <w:rFonts w:ascii="Calibri" w:eastAsia="Calibri" w:hAnsi="Calibri" w:cs="Times New Roman"/>
          <w:b/>
          <w:sz w:val="24"/>
        </w:rPr>
        <w:t>ΦΛΕΒΑΣ</w:t>
      </w:r>
    </w:p>
    <w:p w:rsidR="00AD70B5" w:rsidRPr="00B24D86" w:rsidRDefault="00AD70B5" w:rsidP="00AD70B5">
      <w:pPr>
        <w:jc w:val="center"/>
        <w:rPr>
          <w:rFonts w:ascii="Calibri" w:eastAsia="Calibri" w:hAnsi="Calibri" w:cs="Times New Roman"/>
          <w:b/>
          <w:sz w:val="24"/>
        </w:rPr>
      </w:pP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Ο σχεδιασμός του να συνδυάζει τη χρήση του κοινού </w:t>
      </w:r>
      <w:proofErr w:type="spellStart"/>
      <w:r w:rsidRPr="006C401F">
        <w:rPr>
          <w:rFonts w:ascii="Calibri" w:eastAsia="Calibri" w:hAnsi="Calibri" w:cs="Times New Roman"/>
          <w:sz w:val="24"/>
        </w:rPr>
        <w:t>φλεβοκαθετήρα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με το χειρισμό της πεταλούδας για εύκολη εισαγωγή και την αποφυγή επαφής με το αίμα.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 διαθέτει πτερύγια στήριξης τα οποία να βοηθούν στην εισαγωγή και να στηρίζουν τον καθετήρα.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διαθέτει μηχανισμό εμπλοκής και κάλυψης της βελόνας του </w:t>
      </w:r>
      <w:proofErr w:type="spellStart"/>
      <w:r w:rsidRPr="006C401F">
        <w:rPr>
          <w:rFonts w:ascii="Calibri" w:eastAsia="Calibri" w:hAnsi="Calibri" w:cs="Times New Roman"/>
          <w:sz w:val="24"/>
        </w:rPr>
        <w:t>στυλεού</w:t>
      </w:r>
      <w:proofErr w:type="spellEnd"/>
      <w:r w:rsidRPr="006C401F">
        <w:rPr>
          <w:rFonts w:ascii="Calibri" w:eastAsia="Calibri" w:hAnsi="Calibri" w:cs="Times New Roman"/>
          <w:sz w:val="24"/>
        </w:rPr>
        <w:t>, για την αποφυγή τραυματισμού κατά την εισαγωγή.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έχει ενσωματωμένη διαφανή προέκταση η οποία στο άκρο της να καταλήγει σε σχήμα Υ, ώστε να απλουστεύεται η χορήγηση φαρμάκων και διαλυμάτων αλλά και να εμποδίζει την επαφή με το αίμα. 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Το υλικό κατασκευής του </w:t>
      </w:r>
      <w:proofErr w:type="spellStart"/>
      <w:r w:rsidRPr="006C401F">
        <w:rPr>
          <w:rFonts w:ascii="Calibri" w:eastAsia="Calibri" w:hAnsi="Calibri" w:cs="Times New Roman"/>
          <w:sz w:val="24"/>
        </w:rPr>
        <w:t>φλεβοκαθετήρα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να είναι από υλικό </w:t>
      </w:r>
      <w:proofErr w:type="spellStart"/>
      <w:r w:rsidRPr="006C401F">
        <w:rPr>
          <w:rFonts w:ascii="Calibri" w:eastAsia="Calibri" w:hAnsi="Calibri" w:cs="Times New Roman"/>
          <w:sz w:val="24"/>
        </w:rPr>
        <w:t>πολυουρεθάνη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χωρίς πρόσθετα π.χ. κερί, πλαστικά, σταθεροποιητές, ως το πλέον </w:t>
      </w:r>
      <w:proofErr w:type="spellStart"/>
      <w:r w:rsidRPr="006C401F">
        <w:rPr>
          <w:rFonts w:ascii="Calibri" w:eastAsia="Calibri" w:hAnsi="Calibri" w:cs="Times New Roman"/>
          <w:sz w:val="24"/>
        </w:rPr>
        <w:t>βιοσυμβατό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υλικό με τον ανθρώπινο οργανισμό, και να επιτρέπει την παραμονή στον ασθενή για τουλάχιστον 72 ώρες.</w:t>
      </w:r>
    </w:p>
    <w:p w:rsidR="00AD70B5" w:rsidRDefault="00AD70B5" w:rsidP="00AD70B5">
      <w:pPr>
        <w:ind w:left="360"/>
        <w:jc w:val="both"/>
        <w:rPr>
          <w:sz w:val="24"/>
        </w:rPr>
      </w:pPr>
      <w:r w:rsidRPr="006C401F">
        <w:rPr>
          <w:rFonts w:ascii="Calibri" w:eastAsia="Calibri" w:hAnsi="Calibri" w:cs="Times New Roman"/>
          <w:sz w:val="24"/>
        </w:rPr>
        <w:t>Να έχει λεπτά τοιχώματα για να διατηρεί τη μεγαλύτερη δυνατή εσωτερική διάμετρο, ώστε να επιτυγχάνονται μεγαλύτερες ταχύτητες ροής.</w:t>
      </w:r>
    </w:p>
    <w:p w:rsidR="00AD70B5" w:rsidRPr="00AD70B5" w:rsidRDefault="00AD70B5" w:rsidP="00AD70B5">
      <w:pPr>
        <w:ind w:left="36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AD70B5">
        <w:rPr>
          <w:b/>
          <w:sz w:val="32"/>
          <w:szCs w:val="32"/>
        </w:rPr>
        <w:lastRenderedPageBreak/>
        <w:t>4)</w:t>
      </w:r>
      <w:r>
        <w:t xml:space="preserve"> Επίθεμα πλέγματος πολυεστέρα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Με </w:t>
      </w:r>
      <w:proofErr w:type="spellStart"/>
      <w:r>
        <w:t>αντιμικροβιακό</w:t>
      </w:r>
      <w:proofErr w:type="spellEnd"/>
      <w:r>
        <w:t xml:space="preserve"> παράγοντα αργύρου (ελεύθερο </w:t>
      </w:r>
      <w:proofErr w:type="spellStart"/>
      <w:r>
        <w:t>σουλφαδιαζίνης</w:t>
      </w:r>
      <w:proofErr w:type="spellEnd"/>
      <w:r>
        <w:t xml:space="preserve">) περιεκτικότητας 0,35mg/cm² ώστε να παρέχεται συνεχής </w:t>
      </w:r>
      <w:proofErr w:type="spellStart"/>
      <w:r>
        <w:t>αντιμικροβιακή</w:t>
      </w:r>
      <w:proofErr w:type="spellEnd"/>
      <w:r>
        <w:t xml:space="preserve"> προστασία χωρίς κίνδυνο τοξικότητας, μη κολλητικά.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Ο καθετήρας να έχει τέτοιο σχεδιασμό ώστε να έχει τέλεια εφαρμογή με τον οδηγό </w:t>
      </w:r>
      <w:proofErr w:type="spellStart"/>
      <w:r w:rsidRPr="006C401F">
        <w:rPr>
          <w:rFonts w:ascii="Calibri" w:eastAsia="Calibri" w:hAnsi="Calibri" w:cs="Times New Roman"/>
          <w:sz w:val="24"/>
        </w:rPr>
        <w:t>στυλεό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(βελόνα), ώστε να αποφεύγεται το φαινόμενο </w:t>
      </w:r>
      <w:proofErr w:type="spellStart"/>
      <w:r w:rsidRPr="006C401F">
        <w:rPr>
          <w:rFonts w:ascii="Calibri" w:eastAsia="Calibri" w:hAnsi="Calibri" w:cs="Times New Roman"/>
          <w:sz w:val="24"/>
        </w:rPr>
        <w:t>συρίκνωσης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του καθετήρα κατά την εισαγωγή του.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 xml:space="preserve">Να διαθέτει εγκοπή </w:t>
      </w:r>
      <w:r w:rsidRPr="006C401F">
        <w:rPr>
          <w:rFonts w:ascii="Calibri" w:eastAsia="Calibri" w:hAnsi="Calibri" w:cs="Times New Roman"/>
          <w:sz w:val="24"/>
          <w:lang w:val="en-US"/>
        </w:rPr>
        <w:t>LL</w:t>
      </w:r>
      <w:r w:rsidRPr="006C401F">
        <w:rPr>
          <w:rFonts w:ascii="Calibri" w:eastAsia="Calibri" w:hAnsi="Calibri" w:cs="Times New Roman"/>
          <w:sz w:val="24"/>
        </w:rPr>
        <w:t xml:space="preserve"> (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Luer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Lok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) για δυνατότητα παροχής σκευασμάτων και ορών χωρίς τη χρήση βελόνας. Η βαλβίδα να δέχεται σύριγγες με ρύγχη </w:t>
      </w:r>
      <w:r w:rsidRPr="006C401F">
        <w:rPr>
          <w:rFonts w:ascii="Calibri" w:eastAsia="Calibri" w:hAnsi="Calibri" w:cs="Times New Roman"/>
          <w:sz w:val="24"/>
          <w:lang w:val="en-US"/>
        </w:rPr>
        <w:t>LL</w:t>
      </w:r>
      <w:r w:rsidRPr="006C401F">
        <w:rPr>
          <w:rFonts w:ascii="Calibri" w:eastAsia="Calibri" w:hAnsi="Calibri" w:cs="Times New Roman"/>
          <w:sz w:val="24"/>
        </w:rPr>
        <w:t xml:space="preserve"> και </w:t>
      </w:r>
      <w:r w:rsidRPr="006C401F">
        <w:rPr>
          <w:rFonts w:ascii="Calibri" w:eastAsia="Calibri" w:hAnsi="Calibri" w:cs="Times New Roman"/>
          <w:sz w:val="24"/>
          <w:lang w:val="en-US"/>
        </w:rPr>
        <w:t>LS</w:t>
      </w:r>
      <w:r w:rsidRPr="006C401F">
        <w:rPr>
          <w:rFonts w:ascii="Calibri" w:eastAsia="Calibri" w:hAnsi="Calibri" w:cs="Times New Roman"/>
          <w:sz w:val="24"/>
        </w:rPr>
        <w:t xml:space="preserve"> (</w:t>
      </w:r>
      <w:proofErr w:type="spellStart"/>
      <w:r w:rsidRPr="006C401F">
        <w:rPr>
          <w:rFonts w:ascii="Calibri" w:eastAsia="Calibri" w:hAnsi="Calibri" w:cs="Times New Roman"/>
          <w:sz w:val="24"/>
          <w:lang w:val="en-US"/>
        </w:rPr>
        <w:t>Luer</w:t>
      </w:r>
      <w:proofErr w:type="spellEnd"/>
      <w:r w:rsidRPr="006C401F">
        <w:rPr>
          <w:rFonts w:ascii="Calibri" w:eastAsia="Calibri" w:hAnsi="Calibri" w:cs="Times New Roman"/>
          <w:sz w:val="24"/>
        </w:rPr>
        <w:t xml:space="preserve"> </w:t>
      </w:r>
      <w:r w:rsidRPr="006C401F">
        <w:rPr>
          <w:rFonts w:ascii="Calibri" w:eastAsia="Calibri" w:hAnsi="Calibri" w:cs="Times New Roman"/>
          <w:sz w:val="24"/>
          <w:lang w:val="en-US"/>
        </w:rPr>
        <w:t>Slip</w:t>
      </w:r>
      <w:r w:rsidRPr="006C401F">
        <w:rPr>
          <w:rFonts w:ascii="Calibri" w:eastAsia="Calibri" w:hAnsi="Calibri" w:cs="Times New Roman"/>
          <w:sz w:val="24"/>
        </w:rPr>
        <w:t xml:space="preserve">). </w:t>
      </w:r>
    </w:p>
    <w:p w:rsidR="00AD70B5" w:rsidRPr="006C401F" w:rsidRDefault="00AD70B5" w:rsidP="00AD70B5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</w:t>
      </w:r>
      <w:r w:rsidRPr="006C401F">
        <w:rPr>
          <w:rFonts w:ascii="Calibri" w:eastAsia="Calibri" w:hAnsi="Calibri" w:cs="Times New Roman"/>
          <w:sz w:val="24"/>
        </w:rPr>
        <w:t>Να διαθέτει πτερύγια στήριξης.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 είναι αποστειρωμένος με ΕΤΟ (οξείδιο του αιθυλενίου) με 5ετή διάρκεια της αποστείρωσης.</w:t>
      </w:r>
    </w:p>
    <w:p w:rsidR="00AD70B5" w:rsidRPr="006C401F" w:rsidRDefault="00AD70B5" w:rsidP="00AD70B5">
      <w:pPr>
        <w:ind w:left="360"/>
        <w:jc w:val="both"/>
        <w:rPr>
          <w:rFonts w:ascii="Calibri" w:eastAsia="Calibri" w:hAnsi="Calibri" w:cs="Times New Roman"/>
          <w:sz w:val="24"/>
        </w:rPr>
      </w:pPr>
      <w:r w:rsidRPr="006C401F">
        <w:rPr>
          <w:rFonts w:ascii="Calibri" w:eastAsia="Calibri" w:hAnsi="Calibri" w:cs="Times New Roman"/>
          <w:sz w:val="24"/>
        </w:rPr>
        <w:t>Να</w:t>
      </w:r>
      <w:r>
        <w:rPr>
          <w:rFonts w:ascii="Calibri" w:eastAsia="Calibri" w:hAnsi="Calibri" w:cs="Times New Roman"/>
          <w:sz w:val="24"/>
        </w:rPr>
        <w:t xml:space="preserve"> διαθέτει νούμερα  22</w:t>
      </w:r>
      <w:r w:rsidRPr="006C401F">
        <w:rPr>
          <w:rFonts w:ascii="Calibri" w:eastAsia="Calibri" w:hAnsi="Calibri" w:cs="Times New Roman"/>
          <w:sz w:val="24"/>
          <w:lang w:val="en-US"/>
        </w:rPr>
        <w:t>G</w:t>
      </w:r>
      <w:r w:rsidRPr="006C401F">
        <w:rPr>
          <w:rFonts w:ascii="Calibri" w:eastAsia="Calibri" w:hAnsi="Calibri" w:cs="Times New Roman"/>
          <w:sz w:val="24"/>
        </w:rPr>
        <w:t>.</w:t>
      </w:r>
    </w:p>
    <w:p w:rsidR="00AD70B5" w:rsidRPr="006C401F" w:rsidRDefault="00AD70B5" w:rsidP="00AD70B5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6C401F">
        <w:rPr>
          <w:rFonts w:ascii="Calibri" w:eastAsia="Calibri" w:hAnsi="Calibri" w:cs="Times New Roman"/>
          <w:sz w:val="24"/>
          <w:szCs w:val="24"/>
        </w:rPr>
        <w:t xml:space="preserve">Να έχει πιστοποίηση </w:t>
      </w:r>
      <w:r w:rsidRPr="006C401F">
        <w:rPr>
          <w:rFonts w:ascii="Calibri" w:eastAsia="Calibri" w:hAnsi="Calibri" w:cs="Times New Roman"/>
          <w:sz w:val="24"/>
          <w:szCs w:val="24"/>
          <w:lang w:val="en-US"/>
        </w:rPr>
        <w:t>ISO</w:t>
      </w:r>
    </w:p>
    <w:p w:rsidR="00AD70B5" w:rsidRDefault="00AD70B5" w:rsidP="00AD70B5"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>
        <w:t>15εκ*20εκ (33303062)</w:t>
      </w:r>
    </w:p>
    <w:p w:rsidR="00AD70B5" w:rsidRPr="00E90742" w:rsidRDefault="00AD70B5" w:rsidP="00AD70B5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D70B5" w:rsidRPr="00AD70B5" w:rsidRDefault="00AD70B5" w:rsidP="00AD70B5">
      <w:pPr>
        <w:pStyle w:val="a3"/>
        <w:jc w:val="both"/>
        <w:rPr>
          <w:rFonts w:ascii="Arial" w:hAnsi="Arial" w:cs="Arial"/>
          <w:b/>
          <w:sz w:val="36"/>
          <w:szCs w:val="36"/>
        </w:rPr>
      </w:pPr>
    </w:p>
    <w:sectPr w:rsidR="00AD70B5" w:rsidRPr="00AD70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618A"/>
    <w:rsid w:val="00AD1397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4F29-C78C-4B33-BFE2-66623329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254</cp:revision>
  <cp:lastPrinted>2022-05-09T10:22:00Z</cp:lastPrinted>
  <dcterms:created xsi:type="dcterms:W3CDTF">2022-05-09T06:51:00Z</dcterms:created>
  <dcterms:modified xsi:type="dcterms:W3CDTF">2025-05-06T06:51:00Z</dcterms:modified>
</cp:coreProperties>
</file>