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56" w:rsidRPr="00646C18" w:rsidRDefault="00873156" w:rsidP="00646C18">
      <w:pPr>
        <w:jc w:val="center"/>
        <w:rPr>
          <w:rFonts w:ascii="Arial" w:hAnsi="Arial" w:cs="Arial"/>
          <w:b/>
          <w:sz w:val="28"/>
          <w:szCs w:val="28"/>
          <w:u w:val="single"/>
        </w:rPr>
      </w:pPr>
      <w:r w:rsidRPr="00646C18">
        <w:rPr>
          <w:rFonts w:ascii="Arial" w:hAnsi="Arial" w:cs="Arial"/>
          <w:b/>
          <w:sz w:val="28"/>
          <w:szCs w:val="28"/>
          <w:u w:val="single"/>
          <w:lang w:val="en-US"/>
        </w:rPr>
        <w:t>TEXNIKE</w:t>
      </w:r>
      <w:r w:rsidRPr="00646C18">
        <w:rPr>
          <w:rFonts w:ascii="Arial" w:hAnsi="Arial" w:cs="Arial"/>
          <w:b/>
          <w:sz w:val="28"/>
          <w:szCs w:val="28"/>
          <w:u w:val="single"/>
        </w:rPr>
        <w:t>Σ ΠΡΟΔΙΑΓΡΑΦΕΣ</w:t>
      </w:r>
    </w:p>
    <w:p w:rsidR="00873156" w:rsidRPr="00646C18" w:rsidRDefault="00873156" w:rsidP="00873156">
      <w:pPr>
        <w:jc w:val="both"/>
        <w:rPr>
          <w:rFonts w:ascii="Arial" w:hAnsi="Arial" w:cs="Arial"/>
          <w:b/>
          <w:sz w:val="22"/>
          <w:szCs w:val="22"/>
        </w:rPr>
      </w:pPr>
    </w:p>
    <w:p w:rsidR="00873156" w:rsidRPr="00646C18" w:rsidRDefault="00873156" w:rsidP="00873156">
      <w:pPr>
        <w:jc w:val="center"/>
        <w:rPr>
          <w:rFonts w:ascii="Arial" w:hAnsi="Arial" w:cs="Arial"/>
          <w:b/>
          <w:sz w:val="22"/>
          <w:szCs w:val="22"/>
        </w:rPr>
      </w:pPr>
      <w:r w:rsidRPr="00646C18">
        <w:rPr>
          <w:rFonts w:ascii="Arial" w:hAnsi="Arial" w:cs="Arial"/>
          <w:b/>
          <w:sz w:val="22"/>
          <w:szCs w:val="22"/>
        </w:rPr>
        <w:t>TEXNIKEΣ ΠΡΟΔΙΑΓΡΑΦΕΣ ΓΙΑ ΥΠΗΡΕΣΙΕΣ ΟΙΚΟΝΟΜΙΚΟΥ ΔΙΑΧΕΙΡΙΣΤΙΚΟΥ ΕΛΕΓΧΟΥ (ΟΡΚΩΤΟΙ ΛΟΓΙΣΤΕΣ)</w:t>
      </w:r>
    </w:p>
    <w:p w:rsidR="00873156" w:rsidRDefault="00873156" w:rsidP="00873156">
      <w:pPr>
        <w:jc w:val="center"/>
        <w:rPr>
          <w:rFonts w:ascii="Arial" w:hAnsi="Arial" w:cs="Arial"/>
          <w:b/>
          <w:sz w:val="22"/>
          <w:szCs w:val="22"/>
        </w:rPr>
      </w:pPr>
      <w:r w:rsidRPr="00646C18">
        <w:rPr>
          <w:rFonts w:ascii="Arial" w:hAnsi="Arial" w:cs="Arial"/>
          <w:b/>
          <w:sz w:val="22"/>
          <w:szCs w:val="22"/>
        </w:rPr>
        <w:t>Έλεγχος των οικονομικών καταστάσεων του Νοσοκομείου για</w:t>
      </w:r>
      <w:r w:rsidR="00B8439C" w:rsidRPr="00646C18">
        <w:rPr>
          <w:rFonts w:ascii="Arial" w:hAnsi="Arial" w:cs="Arial"/>
          <w:b/>
          <w:sz w:val="22"/>
          <w:szCs w:val="22"/>
        </w:rPr>
        <w:t xml:space="preserve"> την οικονομική χρήση Έτους 2021</w:t>
      </w:r>
    </w:p>
    <w:p w:rsidR="00646C18" w:rsidRPr="00646C18" w:rsidRDefault="00646C18" w:rsidP="00873156">
      <w:pPr>
        <w:jc w:val="center"/>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1"/>
        <w:gridCol w:w="1417"/>
      </w:tblGrid>
      <w:tr w:rsidR="00873156" w:rsidRPr="00646C18" w:rsidTr="00CD7037">
        <w:trPr>
          <w:trHeight w:val="227"/>
        </w:trPr>
        <w:tc>
          <w:tcPr>
            <w:tcW w:w="567" w:type="dxa"/>
            <w:tcBorders>
              <w:top w:val="single" w:sz="4" w:space="0" w:color="auto"/>
              <w:left w:val="single" w:sz="4" w:space="0" w:color="auto"/>
              <w:bottom w:val="single" w:sz="4" w:space="0" w:color="auto"/>
              <w:right w:val="single" w:sz="4" w:space="0" w:color="auto"/>
            </w:tcBorders>
          </w:tcPr>
          <w:p w:rsidR="00873156" w:rsidRPr="00646C18" w:rsidRDefault="00873156" w:rsidP="001606BD">
            <w:pPr>
              <w:spacing w:after="240"/>
              <w:rPr>
                <w:rFonts w:ascii="Arial" w:eastAsia="Calibri" w:hAnsi="Arial" w:cs="Arial"/>
                <w:b/>
                <w:sz w:val="22"/>
                <w:szCs w:val="22"/>
              </w:rPr>
            </w:pPr>
            <w:r w:rsidRPr="00646C18">
              <w:rPr>
                <w:rFonts w:ascii="Arial" w:eastAsia="Calibri" w:hAnsi="Arial" w:cs="Arial"/>
                <w:b/>
                <w:sz w:val="22"/>
                <w:szCs w:val="22"/>
              </w:rPr>
              <w:t>Α</w:t>
            </w:r>
          </w:p>
        </w:tc>
        <w:tc>
          <w:tcPr>
            <w:tcW w:w="9498" w:type="dxa"/>
            <w:gridSpan w:val="2"/>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center"/>
              <w:rPr>
                <w:rFonts w:ascii="Arial" w:eastAsia="Calibri" w:hAnsi="Arial" w:cs="Arial"/>
                <w:b/>
                <w:sz w:val="22"/>
                <w:szCs w:val="22"/>
              </w:rPr>
            </w:pPr>
            <w:r w:rsidRPr="00646C18">
              <w:rPr>
                <w:rFonts w:ascii="Arial" w:eastAsia="Calibri" w:hAnsi="Arial" w:cs="Arial"/>
                <w:b/>
                <w:sz w:val="22"/>
                <w:szCs w:val="22"/>
              </w:rPr>
              <w:t>ΠΕΡΙΓΡΑΦΗ ΤΟΥ ΕΡΓΟΥ ΤΩΝ ΟΡΚΩΤΩΝ ΛΟΓΙΣΤΩΝ ΚΑΤΑ ΤΗ  ΔΙΑΡΚΕΙΑ ΤΗΣ ΟΙΚΟΝΟΜΙΚΗΣ ΧΡΗΣΗΣ.</w:t>
            </w:r>
          </w:p>
          <w:p w:rsidR="00873156" w:rsidRPr="00646C18" w:rsidRDefault="00873156" w:rsidP="00CF680F">
            <w:pPr>
              <w:jc w:val="right"/>
              <w:rPr>
                <w:rFonts w:ascii="Arial" w:eastAsia="Calibri" w:hAnsi="Arial" w:cs="Arial"/>
                <w:b/>
                <w:sz w:val="22"/>
                <w:szCs w:val="22"/>
              </w:rPr>
            </w:pPr>
            <w:r w:rsidRPr="00646C18">
              <w:rPr>
                <w:rFonts w:ascii="Arial" w:eastAsia="Calibri" w:hAnsi="Arial" w:cs="Arial"/>
                <w:b/>
                <w:sz w:val="22"/>
                <w:szCs w:val="22"/>
              </w:rPr>
              <w:t xml:space="preserve">                                                                                                                                        ώρες</w:t>
            </w:r>
          </w:p>
        </w:tc>
      </w:tr>
      <w:tr w:rsidR="00873156" w:rsidRPr="00646C18" w:rsidTr="00CD7037">
        <w:trPr>
          <w:trHeight w:val="227"/>
        </w:trPr>
        <w:tc>
          <w:tcPr>
            <w:tcW w:w="567" w:type="dxa"/>
            <w:tcBorders>
              <w:top w:val="single" w:sz="4" w:space="0" w:color="auto"/>
            </w:tcBorders>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1</w:t>
            </w:r>
          </w:p>
        </w:tc>
        <w:tc>
          <w:tcPr>
            <w:tcW w:w="8081" w:type="dxa"/>
            <w:tcBorders>
              <w:top w:val="single" w:sz="4" w:space="0" w:color="auto"/>
            </w:tcBorders>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Οι ορκωτοί λογιστές συμμετέχουν στις φυσικές απογραφές που διεξάγονται (μηνιαία, τέλος χρήσης). Η συμμετοχή τους αφορά </w:t>
            </w:r>
            <w:r w:rsidRPr="00646C18">
              <w:rPr>
                <w:rFonts w:ascii="Arial" w:eastAsia="Calibri" w:hAnsi="Arial" w:cs="Arial"/>
                <w:b/>
                <w:sz w:val="22"/>
                <w:szCs w:val="22"/>
                <w:u w:val="single"/>
              </w:rPr>
              <w:t>στο δειγματοληπτικό έλεγχο</w:t>
            </w:r>
            <w:r w:rsidRPr="00646C18">
              <w:rPr>
                <w:rFonts w:ascii="Arial" w:eastAsia="Calibri" w:hAnsi="Arial" w:cs="Arial"/>
                <w:sz w:val="22"/>
                <w:szCs w:val="22"/>
              </w:rPr>
              <w:t xml:space="preserve"> των απογραφόμενων υλικών , απαιτήσεων και υποχρεώσεων στα πλαίσια πάντοτε του επιστημονικού </w:t>
            </w:r>
            <w:r w:rsidRPr="00646C18">
              <w:rPr>
                <w:rFonts w:ascii="Arial" w:eastAsia="Calibri" w:hAnsi="Arial" w:cs="Arial"/>
                <w:sz w:val="22"/>
                <w:szCs w:val="22"/>
                <w:lang w:val="en-US"/>
              </w:rPr>
              <w:t>AUDITING</w:t>
            </w:r>
            <w:r w:rsidRPr="00646C18">
              <w:rPr>
                <w:rFonts w:ascii="Arial" w:eastAsia="Calibri" w:hAnsi="Arial" w:cs="Arial"/>
                <w:sz w:val="22"/>
                <w:szCs w:val="22"/>
              </w:rPr>
              <w:t xml:space="preserve"> και της άσκησης των καθηκόντων τους.</w:t>
            </w:r>
          </w:p>
        </w:tc>
        <w:tc>
          <w:tcPr>
            <w:tcW w:w="1417" w:type="dxa"/>
            <w:tcBorders>
              <w:top w:val="single" w:sz="4" w:space="0" w:color="auto"/>
            </w:tcBorders>
          </w:tcPr>
          <w:p w:rsidR="00873156" w:rsidRPr="00646C18" w:rsidRDefault="00873156" w:rsidP="00CF680F">
            <w:pPr>
              <w:ind w:left="3963" w:hanging="3963"/>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2</w:t>
            </w:r>
          </w:p>
        </w:tc>
        <w:tc>
          <w:tcPr>
            <w:tcW w:w="8081" w:type="dxa"/>
          </w:tcPr>
          <w:p w:rsidR="00873156" w:rsidRPr="00646C18" w:rsidRDefault="00873156" w:rsidP="00CF680F">
            <w:pPr>
              <w:ind w:left="176"/>
              <w:jc w:val="both"/>
              <w:rPr>
                <w:rFonts w:ascii="Arial" w:eastAsia="Calibri" w:hAnsi="Arial" w:cs="Arial"/>
                <w:sz w:val="22"/>
                <w:szCs w:val="22"/>
                <w:u w:val="single"/>
              </w:rPr>
            </w:pPr>
            <w:r w:rsidRPr="00646C18">
              <w:rPr>
                <w:rFonts w:ascii="Arial" w:eastAsia="Calibri" w:hAnsi="Arial" w:cs="Arial"/>
                <w:sz w:val="22"/>
                <w:szCs w:val="22"/>
              </w:rPr>
              <w:t xml:space="preserve">Ο </w:t>
            </w:r>
            <w:r w:rsidRPr="00646C18">
              <w:rPr>
                <w:rFonts w:ascii="Arial" w:eastAsia="Calibri" w:hAnsi="Arial" w:cs="Arial"/>
                <w:b/>
                <w:sz w:val="22"/>
                <w:szCs w:val="22"/>
                <w:u w:val="single"/>
              </w:rPr>
              <w:t>δειγματοληπτικός έλεγχος</w:t>
            </w:r>
            <w:r w:rsidRPr="00646C18">
              <w:rPr>
                <w:rFonts w:ascii="Arial" w:eastAsia="Calibri" w:hAnsi="Arial" w:cs="Arial"/>
                <w:sz w:val="22"/>
                <w:szCs w:val="22"/>
              </w:rPr>
              <w:t xml:space="preserve"> διεξάγεται τόσο </w:t>
            </w:r>
            <w:r w:rsidRPr="00646C18">
              <w:rPr>
                <w:rFonts w:ascii="Arial" w:eastAsia="Calibri" w:hAnsi="Arial" w:cs="Arial"/>
                <w:sz w:val="22"/>
                <w:szCs w:val="22"/>
                <w:u w:val="single"/>
              </w:rPr>
              <w:t>στις κεντρικές αποθήκες</w:t>
            </w:r>
            <w:r w:rsidRPr="00646C18">
              <w:rPr>
                <w:rFonts w:ascii="Arial" w:eastAsia="Calibri" w:hAnsi="Arial" w:cs="Arial"/>
                <w:sz w:val="22"/>
                <w:szCs w:val="22"/>
              </w:rPr>
              <w:t xml:space="preserve"> όσο και </w:t>
            </w:r>
            <w:r w:rsidRPr="00646C18">
              <w:rPr>
                <w:rFonts w:ascii="Arial" w:eastAsia="Calibri" w:hAnsi="Arial" w:cs="Arial"/>
                <w:sz w:val="22"/>
                <w:szCs w:val="22"/>
                <w:u w:val="single"/>
              </w:rPr>
              <w:t>στα Τμήματα.</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το τέλος των απογραφών ελέγχουν εάν οι καταστάσεις απογραφής είναι υπογεγραμμένες από τις επιτροπές απογραφής , εάν αναγράφεται η ημερομηνία και ο χρόνος διεξαγωγής-έναρξη και λήξη- της καταμέτρησης. Υπογράφουν τις καταστάσεις απογραφής κάτω από τις υπογραφές της επιτροπής.</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3</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τον προσδιορισμό των διαφορών απογραφής -που γίνεται με το κατάλληλο λογισμικό -προχωρούν στον έλεγχο των περιπτώσεων όπου παρουσιάζονται σημαντικές  διαφορές  προκειμένου να διορθωθούν τα ανθρώπινα λάθη που προέρχονται από πιθανές λανθασμένες καταχωρήσεις.</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Οι περιπτώσεις που δεν οφείλονται σε ανθρώπινο λάθος επισημαίνονται.</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4</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την έγκριση των διαφορών απογραφής από το Δ.Σ. του Νοσοκομείου ελέγχουν αν έχει γίνει -με το κατάλληλο λογισμικό- η σωστή καταχώρηση των διαφορών απογραφής στις διαχειρίσεις και η προσαρμογή των λογιστικών υπολοίπων προς τα φυσικώς καταμετρημένα.</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5</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Ελέγχουν την ορθή εφαρμογή των κανόνων αποτίμησης των αποθεμάτων και του προσδιορισμού της τελικής αξίας των αποθεμάτων.</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6</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Ελέγχουν την ορθή μεταφορά των υπολοίπων από τη μια χρήση στην άλλη. (άνοιγμα των λογαριασμών)</w:t>
            </w:r>
            <w:r w:rsidRPr="00646C18">
              <w:rPr>
                <w:rFonts w:ascii="Arial" w:hAnsi="Arial" w:cs="Arial"/>
                <w:sz w:val="22"/>
                <w:szCs w:val="22"/>
              </w:rPr>
              <w:t>.</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7</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Ελέγχουν </w:t>
            </w:r>
            <w:r w:rsidRPr="00646C18">
              <w:rPr>
                <w:rFonts w:ascii="Arial" w:eastAsia="Calibri" w:hAnsi="Arial" w:cs="Arial"/>
                <w:b/>
                <w:sz w:val="22"/>
                <w:szCs w:val="22"/>
                <w:u w:val="single"/>
              </w:rPr>
              <w:t>δειγματοληπτικά</w:t>
            </w:r>
            <w:r w:rsidRPr="00646C18">
              <w:rPr>
                <w:rFonts w:ascii="Arial" w:eastAsia="Calibri" w:hAnsi="Arial" w:cs="Arial"/>
                <w:sz w:val="22"/>
                <w:szCs w:val="22"/>
              </w:rPr>
              <w:t xml:space="preserve"> την ορθή τήρηση των διαδικασιών ως προς τις αγορές, τις ενταλματοποιήσεις, τις πληρωμές , τη βεβαίωση και την είσπραξη των νοσηλίων.</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8</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Ελέγχουν τις οικονομικές καταστάσεις (ισοζύγια και λογ/μούς ) και ειδικότερα </w:t>
            </w:r>
            <w:r w:rsidRPr="00646C18">
              <w:rPr>
                <w:rFonts w:ascii="Arial" w:eastAsia="Calibri" w:hAnsi="Arial" w:cs="Arial"/>
                <w:sz w:val="22"/>
                <w:szCs w:val="22"/>
                <w:u w:val="single"/>
              </w:rPr>
              <w:t>των κρίσιμων λογαριασμών</w:t>
            </w:r>
            <w:r w:rsidRPr="00646C18">
              <w:rPr>
                <w:rFonts w:ascii="Arial" w:eastAsia="Calibri" w:hAnsi="Arial" w:cs="Arial"/>
                <w:sz w:val="22"/>
                <w:szCs w:val="22"/>
              </w:rPr>
              <w:t xml:space="preserve"> που έχουν σχέση με τη διαμόρφωση του κόστους και των εσόδων.</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9</w:t>
            </w:r>
          </w:p>
        </w:tc>
        <w:tc>
          <w:tcPr>
            <w:tcW w:w="8081"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 Ελέγχουν τις Οικονομικές καταστάσεις όπως αυτές συντάσσονται με βάση το Π.Δ. </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146 /2003 και τα Διεθνή Πρότυπα Χρηματοοικονομικής Πληροφόρησης όπως προβλέπεται από το Ν 3599/2007, άρθρο 27, το Ν.3697/2008, άρθρο 11. </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Εκδίδουν και υπογράφουν τις εκθέσεις ελέγχου και τα πιστοποιητικά.</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 Η παράδοση των ελεγμένων οικονομικών καταστάσεων της έκθεσης ελέγχου και των πιστοποιητικών πρέπει να γίνει μέσα σε 30 εργάσιμες ημέρες</w:t>
            </w:r>
            <w:r w:rsidRPr="00646C18">
              <w:rPr>
                <w:rFonts w:ascii="Arial" w:hAnsi="Arial" w:cs="Arial"/>
                <w:sz w:val="22"/>
                <w:szCs w:val="22"/>
              </w:rPr>
              <w:t>.</w:t>
            </w:r>
          </w:p>
        </w:tc>
        <w:tc>
          <w:tcPr>
            <w:tcW w:w="1417" w:type="dxa"/>
          </w:tcPr>
          <w:p w:rsidR="00873156" w:rsidRPr="00646C18" w:rsidRDefault="00873156" w:rsidP="00CF680F">
            <w:pPr>
              <w:jc w:val="both"/>
              <w:rPr>
                <w:rFonts w:ascii="Arial" w:eastAsia="Calibri" w:hAnsi="Arial" w:cs="Arial"/>
                <w:sz w:val="22"/>
                <w:szCs w:val="22"/>
              </w:rPr>
            </w:pPr>
          </w:p>
        </w:tc>
      </w:tr>
      <w:tr w:rsidR="00873156" w:rsidRPr="00646C18" w:rsidTr="00CD7037">
        <w:trPr>
          <w:trHeight w:val="227"/>
        </w:trPr>
        <w:tc>
          <w:tcPr>
            <w:tcW w:w="567" w:type="dxa"/>
          </w:tcPr>
          <w:p w:rsidR="00873156" w:rsidRPr="00646C18" w:rsidRDefault="00873156" w:rsidP="00CF680F">
            <w:pPr>
              <w:jc w:val="both"/>
              <w:rPr>
                <w:rFonts w:ascii="Arial" w:eastAsia="Calibri" w:hAnsi="Arial" w:cs="Arial"/>
                <w:sz w:val="22"/>
                <w:szCs w:val="22"/>
              </w:rPr>
            </w:pPr>
          </w:p>
        </w:tc>
        <w:tc>
          <w:tcPr>
            <w:tcW w:w="8081" w:type="dxa"/>
          </w:tcPr>
          <w:p w:rsidR="00873156" w:rsidRPr="00646C18" w:rsidRDefault="00873156" w:rsidP="00A64178">
            <w:pPr>
              <w:jc w:val="both"/>
              <w:rPr>
                <w:rFonts w:ascii="Arial" w:eastAsia="Calibri" w:hAnsi="Arial" w:cs="Arial"/>
                <w:b/>
                <w:sz w:val="22"/>
                <w:szCs w:val="22"/>
              </w:rPr>
            </w:pPr>
            <w:r w:rsidRPr="00646C18">
              <w:rPr>
                <w:rFonts w:ascii="Arial" w:hAnsi="Arial" w:cs="Arial"/>
                <w:b/>
                <w:sz w:val="22"/>
                <w:szCs w:val="22"/>
              </w:rPr>
              <w:t>ΣΥΝΟΛΟ ΩΡΩΝ ΑΠΑΣΧΟΛΗΣΗΣ ΑΝΑ ΔΙΑΧΕΙΡΙΣΤΙΚΗ ΧΡΗΣΗ</w:t>
            </w:r>
          </w:p>
        </w:tc>
        <w:tc>
          <w:tcPr>
            <w:tcW w:w="1417" w:type="dxa"/>
          </w:tcPr>
          <w:p w:rsidR="00873156" w:rsidRPr="00646C18" w:rsidRDefault="00873156" w:rsidP="00CF680F">
            <w:pPr>
              <w:jc w:val="both"/>
              <w:rPr>
                <w:rFonts w:ascii="Arial" w:eastAsia="Calibri" w:hAnsi="Arial" w:cs="Arial"/>
                <w:sz w:val="22"/>
                <w:szCs w:val="22"/>
              </w:rPr>
            </w:pPr>
          </w:p>
        </w:tc>
      </w:tr>
    </w:tbl>
    <w:p w:rsidR="00873156" w:rsidRDefault="00873156" w:rsidP="00CF680F">
      <w:pPr>
        <w:ind w:left="-851" w:right="-908"/>
        <w:jc w:val="both"/>
        <w:rPr>
          <w:rFonts w:ascii="Arial" w:hAnsi="Arial" w:cs="Arial"/>
          <w:b/>
          <w:sz w:val="22"/>
          <w:szCs w:val="22"/>
        </w:rPr>
      </w:pPr>
    </w:p>
    <w:p w:rsidR="00CD7037" w:rsidRDefault="00CD7037" w:rsidP="00CF680F">
      <w:pPr>
        <w:ind w:left="-851" w:right="-908"/>
        <w:jc w:val="both"/>
        <w:rPr>
          <w:rFonts w:ascii="Arial" w:hAnsi="Arial" w:cs="Arial"/>
          <w:b/>
          <w:sz w:val="22"/>
          <w:szCs w:val="22"/>
        </w:rPr>
      </w:pPr>
    </w:p>
    <w:p w:rsidR="00CD7037" w:rsidRDefault="00CD7037" w:rsidP="00CF680F">
      <w:pPr>
        <w:ind w:left="-851" w:right="-908"/>
        <w:jc w:val="both"/>
        <w:rPr>
          <w:rFonts w:ascii="Arial" w:hAnsi="Arial" w:cs="Arial"/>
          <w:b/>
          <w:sz w:val="22"/>
          <w:szCs w:val="22"/>
        </w:rPr>
      </w:pPr>
    </w:p>
    <w:p w:rsidR="00CD7037" w:rsidRDefault="00CD7037" w:rsidP="00CF680F">
      <w:pPr>
        <w:ind w:left="-851" w:right="-908"/>
        <w:jc w:val="both"/>
        <w:rPr>
          <w:rFonts w:ascii="Arial" w:hAnsi="Arial" w:cs="Arial"/>
          <w:b/>
          <w:sz w:val="22"/>
          <w:szCs w:val="22"/>
        </w:rPr>
      </w:pPr>
    </w:p>
    <w:p w:rsidR="00CD7037" w:rsidRDefault="00CD7037" w:rsidP="00CF680F">
      <w:pPr>
        <w:ind w:left="-851" w:right="-908"/>
        <w:jc w:val="both"/>
        <w:rPr>
          <w:rFonts w:ascii="Arial" w:hAnsi="Arial" w:cs="Arial"/>
          <w:b/>
          <w:sz w:val="22"/>
          <w:szCs w:val="22"/>
        </w:rPr>
      </w:pPr>
    </w:p>
    <w:p w:rsidR="00873156" w:rsidRPr="00646C18" w:rsidRDefault="00873156" w:rsidP="00CF680F">
      <w:pPr>
        <w:ind w:left="-851" w:right="-908"/>
        <w:jc w:val="both"/>
        <w:rPr>
          <w:rFonts w:ascii="Arial" w:hAnsi="Arial" w:cs="Arial"/>
          <w:b/>
          <w:sz w:val="22"/>
          <w:szCs w:val="22"/>
          <w:u w:val="single"/>
        </w:rPr>
      </w:pPr>
      <w:r w:rsidRPr="00646C18">
        <w:rPr>
          <w:rFonts w:ascii="Arial" w:hAnsi="Arial" w:cs="Arial"/>
          <w:b/>
          <w:sz w:val="22"/>
          <w:szCs w:val="22"/>
          <w:u w:val="single"/>
        </w:rPr>
        <w:lastRenderedPageBreak/>
        <w:t>ΥΠΟΔΕΙΓΜΑ ΦΥΛΛΟΥ ΣΥΜΜΟΡΦΩΣΗΣ</w:t>
      </w:r>
    </w:p>
    <w:p w:rsidR="00873156" w:rsidRPr="00646C18" w:rsidRDefault="00873156" w:rsidP="00CF680F">
      <w:pPr>
        <w:ind w:left="-851" w:right="-908"/>
        <w:jc w:val="both"/>
        <w:rPr>
          <w:rFonts w:ascii="Arial" w:hAnsi="Arial" w:cs="Arial"/>
          <w:b/>
          <w:sz w:val="22"/>
          <w:szCs w:val="22"/>
        </w:rPr>
      </w:pPr>
    </w:p>
    <w:tbl>
      <w:tblPr>
        <w:tblW w:w="100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5370"/>
        <w:gridCol w:w="818"/>
        <w:gridCol w:w="1828"/>
        <w:gridCol w:w="1671"/>
      </w:tblGrid>
      <w:tr w:rsidR="00873156" w:rsidRPr="00646C18" w:rsidTr="00646C18">
        <w:trPr>
          <w:trHeight w:val="227"/>
        </w:trPr>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spacing w:after="240"/>
              <w:jc w:val="both"/>
              <w:rPr>
                <w:rFonts w:ascii="Arial" w:eastAsia="Calibri" w:hAnsi="Arial" w:cs="Arial"/>
                <w:b/>
                <w:sz w:val="22"/>
                <w:szCs w:val="22"/>
              </w:rPr>
            </w:pPr>
            <w:r w:rsidRPr="00646C18">
              <w:rPr>
                <w:rFonts w:ascii="Arial" w:eastAsia="Calibri" w:hAnsi="Arial" w:cs="Arial"/>
                <w:b/>
                <w:sz w:val="22"/>
                <w:szCs w:val="22"/>
              </w:rPr>
              <w:t>Α</w:t>
            </w:r>
          </w:p>
        </w:tc>
        <w:tc>
          <w:tcPr>
            <w:tcW w:w="5882" w:type="dxa"/>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r w:rsidRPr="00646C18">
              <w:rPr>
                <w:rFonts w:ascii="Arial" w:hAnsi="Arial" w:cs="Arial"/>
                <w:b/>
                <w:sz w:val="22"/>
                <w:szCs w:val="22"/>
              </w:rPr>
              <w:t>ΕΛΕΓΧΟΣ ΙΣΟΛΟΓ</w:t>
            </w:r>
            <w:r w:rsidR="00B8439C" w:rsidRPr="00646C18">
              <w:rPr>
                <w:rFonts w:ascii="Arial" w:hAnsi="Arial" w:cs="Arial"/>
                <w:b/>
                <w:sz w:val="22"/>
                <w:szCs w:val="22"/>
              </w:rPr>
              <w:t>ΙΣΜΟΥ ΤΟΥ ΟΙΚΟΝΟΜΙΚΟΥ ΕΤΟΥΣ 2021</w:t>
            </w:r>
            <w:r w:rsidR="003473D4" w:rsidRPr="00646C18">
              <w:rPr>
                <w:rFonts w:ascii="Arial" w:hAnsi="Arial" w:cs="Arial"/>
                <w:b/>
                <w:sz w:val="22"/>
                <w:szCs w:val="22"/>
              </w:rPr>
              <w:t xml:space="preserve"> </w:t>
            </w:r>
            <w:r w:rsidRPr="00646C18">
              <w:rPr>
                <w:rFonts w:ascii="Arial" w:hAnsi="Arial" w:cs="Arial"/>
                <w:b/>
                <w:sz w:val="22"/>
                <w:szCs w:val="22"/>
              </w:rPr>
              <w:t>ΤΟΥ ΓΝ ΑΡΤΑΣ ΑΠΟ ΟΡΚΩΤΟΥΣ ΛΟΓΙΣΤΕΣ ΠΕΡΙΓΡΑΦΗ ΕΡΓΑΣΙΩΝ – ΚΑΤΑΝΟΜΗ ΣΥΝΟΛΙΚΟΥ ΧΡΟΝΟΥ ΑΠΑΣΧΟΛΗΣΗΣ ΔΙΑΧΕΙΡΙΣΤΙΚΗ ΧΡΗΣΗ 20</w:t>
            </w:r>
            <w:r w:rsidR="00B8439C" w:rsidRPr="00646C18">
              <w:rPr>
                <w:rFonts w:ascii="Arial" w:hAnsi="Arial" w:cs="Arial"/>
                <w:b/>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r>
      <w:tr w:rsidR="00873156" w:rsidRPr="00646C18" w:rsidTr="00646C18">
        <w:trPr>
          <w:trHeight w:val="227"/>
        </w:trPr>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spacing w:after="240"/>
              <w:jc w:val="both"/>
              <w:rPr>
                <w:rFonts w:ascii="Arial" w:eastAsia="Calibri" w:hAnsi="Arial" w:cs="Arial"/>
                <w:b/>
                <w:sz w:val="22"/>
                <w:szCs w:val="22"/>
              </w:rPr>
            </w:pPr>
          </w:p>
        </w:tc>
        <w:tc>
          <w:tcPr>
            <w:tcW w:w="5882" w:type="dxa"/>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hAnsi="Arial" w:cs="Arial"/>
                <w:b/>
                <w:sz w:val="22"/>
                <w:szCs w:val="22"/>
              </w:rPr>
            </w:pPr>
            <w:r w:rsidRPr="00646C18">
              <w:rPr>
                <w:rFonts w:ascii="Arial" w:hAnsi="Arial" w:cs="Arial"/>
                <w:b/>
                <w:sz w:val="22"/>
                <w:szCs w:val="22"/>
              </w:rPr>
              <w:t>ΤΕΧΝΙΚΕΣ ΠΡΟΔΙΑΓΡΑΦΕΣ</w:t>
            </w: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r w:rsidRPr="00646C18">
              <w:rPr>
                <w:rFonts w:ascii="Arial" w:hAnsi="Arial" w:cs="Arial"/>
                <w:b/>
                <w:sz w:val="22"/>
                <w:szCs w:val="22"/>
              </w:rPr>
              <w:t>ΣΥΜΜΟΡΦΩΣΗ</w:t>
            </w: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r w:rsidRPr="00646C18">
              <w:rPr>
                <w:rFonts w:ascii="Arial" w:hAnsi="Arial" w:cs="Arial"/>
                <w:b/>
                <w:sz w:val="22"/>
                <w:szCs w:val="22"/>
              </w:rPr>
              <w:t>ΠΑΡΑΠΟΜΠΗ</w:t>
            </w:r>
          </w:p>
        </w:tc>
      </w:tr>
      <w:tr w:rsidR="00873156" w:rsidRPr="00646C18" w:rsidTr="00646C18">
        <w:trPr>
          <w:trHeight w:val="227"/>
        </w:trPr>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spacing w:after="240"/>
              <w:jc w:val="both"/>
              <w:rPr>
                <w:rFonts w:ascii="Arial" w:eastAsia="Calibri" w:hAnsi="Arial" w:cs="Arial"/>
                <w:b/>
                <w:sz w:val="22"/>
                <w:szCs w:val="22"/>
              </w:rPr>
            </w:pPr>
          </w:p>
        </w:tc>
        <w:tc>
          <w:tcPr>
            <w:tcW w:w="5882" w:type="dxa"/>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hAnsi="Arial" w:cs="Arial"/>
                <w:b/>
                <w:sz w:val="22"/>
                <w:szCs w:val="22"/>
              </w:rPr>
            </w:pPr>
            <w:r w:rsidRPr="00646C18">
              <w:rPr>
                <w:rFonts w:ascii="Arial" w:hAnsi="Arial" w:cs="Arial"/>
                <w:b/>
                <w:sz w:val="22"/>
                <w:szCs w:val="22"/>
              </w:rPr>
              <w:t>ΠΕΡΙΓΡΑΦΗ ΤΟΥ ΕΡΓΟΥ ΤΩΝ ΟΡΚΩΤΩΝ ΛΟΓΙΣΤΩΝ ΚΑΤΑ ΤΗ ΔΙΑΡΚΕΙΑ ΤΗΣ ΟΙΚΟΝΟΜΙΚΗΣ ΧΡΗΣΗΣ</w:t>
            </w: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r w:rsidRPr="00646C18">
              <w:rPr>
                <w:rFonts w:ascii="Arial" w:hAnsi="Arial" w:cs="Arial"/>
                <w:b/>
                <w:sz w:val="22"/>
                <w:szCs w:val="22"/>
              </w:rPr>
              <w:t>ΩΡΕΣ</w:t>
            </w: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73156" w:rsidRPr="00646C18" w:rsidRDefault="00873156" w:rsidP="00CF680F">
            <w:pPr>
              <w:jc w:val="both"/>
              <w:rPr>
                <w:rFonts w:ascii="Arial" w:eastAsia="Calibri" w:hAnsi="Arial" w:cs="Arial"/>
                <w:b/>
                <w:sz w:val="22"/>
                <w:szCs w:val="22"/>
              </w:rPr>
            </w:pPr>
          </w:p>
        </w:tc>
      </w:tr>
      <w:tr w:rsidR="00873156" w:rsidRPr="00646C18" w:rsidTr="00646C18">
        <w:trPr>
          <w:trHeight w:val="227"/>
        </w:trPr>
        <w:tc>
          <w:tcPr>
            <w:tcW w:w="0" w:type="auto"/>
            <w:tcBorders>
              <w:top w:val="single" w:sz="4" w:space="0" w:color="auto"/>
            </w:tcBorders>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1</w:t>
            </w:r>
          </w:p>
        </w:tc>
        <w:tc>
          <w:tcPr>
            <w:tcW w:w="5882" w:type="dxa"/>
            <w:tcBorders>
              <w:top w:val="single" w:sz="4" w:space="0" w:color="auto"/>
            </w:tcBorders>
          </w:tcPr>
          <w:p w:rsidR="00873156" w:rsidRPr="00646C18" w:rsidRDefault="00873156" w:rsidP="00614062">
            <w:pPr>
              <w:ind w:left="176"/>
              <w:jc w:val="both"/>
              <w:rPr>
                <w:rFonts w:ascii="Arial" w:eastAsia="Calibri" w:hAnsi="Arial" w:cs="Arial"/>
                <w:sz w:val="22"/>
                <w:szCs w:val="22"/>
              </w:rPr>
            </w:pPr>
            <w:r w:rsidRPr="00646C18">
              <w:rPr>
                <w:rFonts w:ascii="Arial" w:eastAsia="Calibri" w:hAnsi="Arial" w:cs="Arial"/>
                <w:sz w:val="22"/>
                <w:szCs w:val="22"/>
              </w:rPr>
              <w:t xml:space="preserve">Οι ορκωτοί λογιστές συμμετέχουν στις φυσικές απογραφές που διεξάγονται (μηνιαία, τέλος χρήσης). Η συμμετοχή τους αφορά </w:t>
            </w:r>
            <w:r w:rsidRPr="00646C18">
              <w:rPr>
                <w:rFonts w:ascii="Arial" w:eastAsia="Calibri" w:hAnsi="Arial" w:cs="Arial"/>
                <w:b/>
                <w:sz w:val="22"/>
                <w:szCs w:val="22"/>
                <w:u w:val="single"/>
              </w:rPr>
              <w:t>στο δειγματοληπτικό έλεγχο</w:t>
            </w:r>
            <w:r w:rsidRPr="00646C18">
              <w:rPr>
                <w:rFonts w:ascii="Arial" w:eastAsia="Calibri" w:hAnsi="Arial" w:cs="Arial"/>
                <w:sz w:val="22"/>
                <w:szCs w:val="22"/>
              </w:rPr>
              <w:t xml:space="preserve"> των απογραφόμενων υλικών, απαιτήσεων και υποχρεώσεων στα πλαίσια πάντοτε του επιστημονικού </w:t>
            </w:r>
            <w:r w:rsidRPr="00646C18">
              <w:rPr>
                <w:rFonts w:ascii="Arial" w:eastAsia="Calibri" w:hAnsi="Arial" w:cs="Arial"/>
                <w:sz w:val="22"/>
                <w:szCs w:val="22"/>
                <w:lang w:val="en-US"/>
              </w:rPr>
              <w:t>AUDITING</w:t>
            </w:r>
            <w:r w:rsidRPr="00646C18">
              <w:rPr>
                <w:rFonts w:ascii="Arial" w:eastAsia="Calibri" w:hAnsi="Arial" w:cs="Arial"/>
                <w:sz w:val="22"/>
                <w:szCs w:val="22"/>
              </w:rPr>
              <w:t xml:space="preserve"> και της άσκησης των καθηκόντων τους.</w:t>
            </w:r>
          </w:p>
        </w:tc>
        <w:tc>
          <w:tcPr>
            <w:tcW w:w="0" w:type="auto"/>
            <w:tcBorders>
              <w:top w:val="single" w:sz="4" w:space="0" w:color="auto"/>
            </w:tcBorders>
          </w:tcPr>
          <w:p w:rsidR="00873156" w:rsidRPr="00646C18" w:rsidRDefault="00873156" w:rsidP="00CF680F">
            <w:pPr>
              <w:ind w:left="3963" w:hanging="3963"/>
              <w:jc w:val="both"/>
              <w:rPr>
                <w:rFonts w:ascii="Arial" w:eastAsia="Calibri" w:hAnsi="Arial" w:cs="Arial"/>
                <w:sz w:val="22"/>
                <w:szCs w:val="22"/>
              </w:rPr>
            </w:pPr>
          </w:p>
        </w:tc>
        <w:tc>
          <w:tcPr>
            <w:tcW w:w="0" w:type="auto"/>
            <w:tcBorders>
              <w:top w:val="single" w:sz="4" w:space="0" w:color="auto"/>
            </w:tcBorders>
          </w:tcPr>
          <w:p w:rsidR="00873156" w:rsidRPr="00646C18" w:rsidRDefault="00873156" w:rsidP="00CF680F">
            <w:pPr>
              <w:ind w:left="3963" w:hanging="3963"/>
              <w:jc w:val="both"/>
              <w:rPr>
                <w:rFonts w:ascii="Arial" w:eastAsia="Calibri" w:hAnsi="Arial" w:cs="Arial"/>
                <w:sz w:val="22"/>
                <w:szCs w:val="22"/>
              </w:rPr>
            </w:pPr>
          </w:p>
        </w:tc>
        <w:tc>
          <w:tcPr>
            <w:tcW w:w="0" w:type="auto"/>
            <w:tcBorders>
              <w:top w:val="single" w:sz="4" w:space="0" w:color="auto"/>
            </w:tcBorders>
          </w:tcPr>
          <w:p w:rsidR="00873156" w:rsidRPr="00646C18" w:rsidRDefault="00873156" w:rsidP="00CF680F">
            <w:pPr>
              <w:ind w:left="3963" w:hanging="3963"/>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2</w:t>
            </w:r>
          </w:p>
        </w:tc>
        <w:tc>
          <w:tcPr>
            <w:tcW w:w="5882" w:type="dxa"/>
          </w:tcPr>
          <w:p w:rsidR="00873156" w:rsidRPr="00646C18" w:rsidRDefault="00873156" w:rsidP="00CF680F">
            <w:pPr>
              <w:ind w:left="176"/>
              <w:jc w:val="both"/>
              <w:rPr>
                <w:rFonts w:ascii="Arial" w:eastAsia="Calibri" w:hAnsi="Arial" w:cs="Arial"/>
                <w:sz w:val="22"/>
                <w:szCs w:val="22"/>
                <w:u w:val="single"/>
              </w:rPr>
            </w:pPr>
            <w:r w:rsidRPr="00646C18">
              <w:rPr>
                <w:rFonts w:ascii="Arial" w:eastAsia="Calibri" w:hAnsi="Arial" w:cs="Arial"/>
                <w:sz w:val="22"/>
                <w:szCs w:val="22"/>
              </w:rPr>
              <w:t xml:space="preserve">Ο </w:t>
            </w:r>
            <w:r w:rsidRPr="00646C18">
              <w:rPr>
                <w:rFonts w:ascii="Arial" w:eastAsia="Calibri" w:hAnsi="Arial" w:cs="Arial"/>
                <w:b/>
                <w:sz w:val="22"/>
                <w:szCs w:val="22"/>
                <w:u w:val="single"/>
              </w:rPr>
              <w:t>δειγματοληπτικός έλεγχος</w:t>
            </w:r>
            <w:r w:rsidRPr="00646C18">
              <w:rPr>
                <w:rFonts w:ascii="Arial" w:eastAsia="Calibri" w:hAnsi="Arial" w:cs="Arial"/>
                <w:sz w:val="22"/>
                <w:szCs w:val="22"/>
              </w:rPr>
              <w:t xml:space="preserve"> διεξάγεται τόσο </w:t>
            </w:r>
            <w:r w:rsidRPr="00646C18">
              <w:rPr>
                <w:rFonts w:ascii="Arial" w:eastAsia="Calibri" w:hAnsi="Arial" w:cs="Arial"/>
                <w:sz w:val="22"/>
                <w:szCs w:val="22"/>
                <w:u w:val="single"/>
              </w:rPr>
              <w:t>στις κεντρικές αποθήκες</w:t>
            </w:r>
            <w:r w:rsidRPr="00646C18">
              <w:rPr>
                <w:rFonts w:ascii="Arial" w:eastAsia="Calibri" w:hAnsi="Arial" w:cs="Arial"/>
                <w:sz w:val="22"/>
                <w:szCs w:val="22"/>
              </w:rPr>
              <w:t xml:space="preserve"> όσο και </w:t>
            </w:r>
            <w:r w:rsidRPr="00646C18">
              <w:rPr>
                <w:rFonts w:ascii="Arial" w:eastAsia="Calibri" w:hAnsi="Arial" w:cs="Arial"/>
                <w:sz w:val="22"/>
                <w:szCs w:val="22"/>
                <w:u w:val="single"/>
              </w:rPr>
              <w:t>στα Τμήματα.</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το τέλος των απογραφών ελέγχουν εάν οι καταστάσεις απογραφής είναι υπογεγραμμένες από τις επιτροπές απογραφής , εάν αναγράφεται η ημερομηνία και ο χρόνος διεξαγωγής-έναρξη και λήξη- της καταμέτρησης. Υπογράφουν τις καταστάσεις απογραφής κάτω από τις υπογραφές της επιτροπής.</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3</w:t>
            </w:r>
          </w:p>
        </w:tc>
        <w:tc>
          <w:tcPr>
            <w:tcW w:w="5882"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τον προσδιορισμό των διαφορών απογραφής -που γίνεται με το κατάλληλο λογισμικό -προχωρούν στον έλεγχο των περιπτώσεων όπου παρουσιάζονται σημαντικές  διαφορές  προκειμένου να διορθωθούν τα ανθρώπινα λάθη που προέρχονται από πιθανές λανθασμένες καταχωρήσεις.</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Οι περιπτώσεις που δεν οφείλονται σε ανθρώπινο λάθος επισημαίνονται.</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4</w:t>
            </w:r>
          </w:p>
        </w:tc>
        <w:tc>
          <w:tcPr>
            <w:tcW w:w="5882"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Μετά την έγκριση των διαφορών απογραφής από το Δ.Σ. του Νοσοκομείου ελέγχουν αν έχει γίνει -με το κατάλληλο λογισμικό- η σωστή καταχώρηση των διαφορών απογραφής στις διαχειρίσεις και η προσαρμογή των λογιστικών υπολοίπων προς τα φυσικώς καταμετρημένα.</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5</w:t>
            </w:r>
          </w:p>
        </w:tc>
        <w:tc>
          <w:tcPr>
            <w:tcW w:w="5882"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Ελέγχουν την ορθή εφαρμογή των κανόνων αποτίμησης των αποθεμάτων και του προσδιορισμού της τελικής αξίας των αποθεμάτων.</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6</w:t>
            </w:r>
          </w:p>
        </w:tc>
        <w:tc>
          <w:tcPr>
            <w:tcW w:w="5882"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Ελέγχουν την ορθή μεταφορά των υπολοίπων από τη μια χρήση στην άλλη. (άνοιγμα των λογαριασμών)</w:t>
            </w:r>
            <w:r w:rsidRPr="00646C18">
              <w:rPr>
                <w:rFonts w:ascii="Arial" w:hAnsi="Arial" w:cs="Arial"/>
                <w:sz w:val="22"/>
                <w:szCs w:val="22"/>
              </w:rPr>
              <w:t>.</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7</w:t>
            </w:r>
          </w:p>
        </w:tc>
        <w:tc>
          <w:tcPr>
            <w:tcW w:w="5882" w:type="dxa"/>
          </w:tcPr>
          <w:p w:rsidR="00873156" w:rsidRPr="00646C18" w:rsidRDefault="00873156" w:rsidP="00614062">
            <w:pPr>
              <w:ind w:left="176"/>
              <w:jc w:val="both"/>
              <w:rPr>
                <w:rFonts w:ascii="Arial" w:eastAsia="Calibri" w:hAnsi="Arial" w:cs="Arial"/>
                <w:sz w:val="22"/>
                <w:szCs w:val="22"/>
              </w:rPr>
            </w:pPr>
            <w:r w:rsidRPr="00646C18">
              <w:rPr>
                <w:rFonts w:ascii="Arial" w:eastAsia="Calibri" w:hAnsi="Arial" w:cs="Arial"/>
                <w:sz w:val="22"/>
                <w:szCs w:val="22"/>
              </w:rPr>
              <w:t xml:space="preserve">Ελέγχουν </w:t>
            </w:r>
            <w:r w:rsidRPr="00646C18">
              <w:rPr>
                <w:rFonts w:ascii="Arial" w:eastAsia="Calibri" w:hAnsi="Arial" w:cs="Arial"/>
                <w:b/>
                <w:sz w:val="22"/>
                <w:szCs w:val="22"/>
                <w:u w:val="single"/>
              </w:rPr>
              <w:t>δειγματοληπτικά</w:t>
            </w:r>
            <w:r w:rsidRPr="00646C18">
              <w:rPr>
                <w:rFonts w:ascii="Arial" w:eastAsia="Calibri" w:hAnsi="Arial" w:cs="Arial"/>
                <w:sz w:val="22"/>
                <w:szCs w:val="22"/>
              </w:rPr>
              <w:t xml:space="preserve"> την ορθή τήρηση των διαδικασιών ως προς τις αγορές, τις </w:t>
            </w:r>
            <w:proofErr w:type="spellStart"/>
            <w:r w:rsidRPr="00646C18">
              <w:rPr>
                <w:rFonts w:ascii="Arial" w:eastAsia="Calibri" w:hAnsi="Arial" w:cs="Arial"/>
                <w:sz w:val="22"/>
                <w:szCs w:val="22"/>
              </w:rPr>
              <w:t>ενταλματοποιήσεις</w:t>
            </w:r>
            <w:proofErr w:type="spellEnd"/>
            <w:r w:rsidRPr="00646C18">
              <w:rPr>
                <w:rFonts w:ascii="Arial" w:eastAsia="Calibri" w:hAnsi="Arial" w:cs="Arial"/>
                <w:sz w:val="22"/>
                <w:szCs w:val="22"/>
              </w:rPr>
              <w:t>, τις πληρωμές, τη βεβαίωση και την είσπραξη των νοσηλίων.</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lastRenderedPageBreak/>
              <w:t>8</w:t>
            </w:r>
          </w:p>
        </w:tc>
        <w:tc>
          <w:tcPr>
            <w:tcW w:w="5882" w:type="dxa"/>
          </w:tcPr>
          <w:p w:rsidR="00873156" w:rsidRPr="00646C18" w:rsidRDefault="00873156" w:rsidP="00614062">
            <w:pPr>
              <w:ind w:left="176"/>
              <w:jc w:val="both"/>
              <w:rPr>
                <w:rFonts w:ascii="Arial" w:eastAsia="Calibri" w:hAnsi="Arial" w:cs="Arial"/>
                <w:sz w:val="22"/>
                <w:szCs w:val="22"/>
              </w:rPr>
            </w:pPr>
            <w:r w:rsidRPr="00646C18">
              <w:rPr>
                <w:rFonts w:ascii="Arial" w:eastAsia="Calibri" w:hAnsi="Arial" w:cs="Arial"/>
                <w:sz w:val="22"/>
                <w:szCs w:val="22"/>
              </w:rPr>
              <w:t xml:space="preserve">Ελέγχουν τις οικονομικές καταστάσεις (ισοζύγια και </w:t>
            </w:r>
            <w:proofErr w:type="spellStart"/>
            <w:r w:rsidRPr="00646C18">
              <w:rPr>
                <w:rFonts w:ascii="Arial" w:eastAsia="Calibri" w:hAnsi="Arial" w:cs="Arial"/>
                <w:sz w:val="22"/>
                <w:szCs w:val="22"/>
              </w:rPr>
              <w:t>λογ</w:t>
            </w:r>
            <w:proofErr w:type="spellEnd"/>
            <w:r w:rsidRPr="00646C18">
              <w:rPr>
                <w:rFonts w:ascii="Arial" w:eastAsia="Calibri" w:hAnsi="Arial" w:cs="Arial"/>
                <w:sz w:val="22"/>
                <w:szCs w:val="22"/>
              </w:rPr>
              <w:t>/</w:t>
            </w:r>
            <w:proofErr w:type="spellStart"/>
            <w:r w:rsidRPr="00646C18">
              <w:rPr>
                <w:rFonts w:ascii="Arial" w:eastAsia="Calibri" w:hAnsi="Arial" w:cs="Arial"/>
                <w:sz w:val="22"/>
                <w:szCs w:val="22"/>
              </w:rPr>
              <w:t>μούς</w:t>
            </w:r>
            <w:proofErr w:type="spellEnd"/>
            <w:r w:rsidRPr="00646C18">
              <w:rPr>
                <w:rFonts w:ascii="Arial" w:eastAsia="Calibri" w:hAnsi="Arial" w:cs="Arial"/>
                <w:sz w:val="22"/>
                <w:szCs w:val="22"/>
              </w:rPr>
              <w:t xml:space="preserve">) και ειδικότερα </w:t>
            </w:r>
            <w:r w:rsidRPr="00646C18">
              <w:rPr>
                <w:rFonts w:ascii="Arial" w:eastAsia="Calibri" w:hAnsi="Arial" w:cs="Arial"/>
                <w:sz w:val="22"/>
                <w:szCs w:val="22"/>
                <w:u w:val="single"/>
              </w:rPr>
              <w:t>των κρίσιμων λογαριασμών</w:t>
            </w:r>
            <w:r w:rsidRPr="00646C18">
              <w:rPr>
                <w:rFonts w:ascii="Arial" w:eastAsia="Calibri" w:hAnsi="Arial" w:cs="Arial"/>
                <w:sz w:val="22"/>
                <w:szCs w:val="22"/>
              </w:rPr>
              <w:t xml:space="preserve"> που έχουν σχέση με τη διαμόρφωση του κόστους και των εσόδων.</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r w:rsidRPr="00646C18">
              <w:rPr>
                <w:rFonts w:ascii="Arial" w:eastAsia="Calibri" w:hAnsi="Arial" w:cs="Arial"/>
                <w:sz w:val="22"/>
                <w:szCs w:val="22"/>
              </w:rPr>
              <w:t>9</w:t>
            </w:r>
          </w:p>
        </w:tc>
        <w:tc>
          <w:tcPr>
            <w:tcW w:w="5882" w:type="dxa"/>
          </w:tcPr>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 Ελέγχουν τις Οικονομικές καταστάσεις όπως αυτές συντάσσονται με βάση το Π.Δ. </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146/2003 και τα Διεθνή Πρότυπα Χρηματοοικονομικής Πληροφόρησης όπως προβλέπεται από το Ν 3599/2007, άρθρο 27, το Ν.3697/2008, άρθρο 11. </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Εκδίδουν και υπογράφουν τις εκθέσεις ελέγχου και τα πιστοποιητικά.</w:t>
            </w:r>
          </w:p>
          <w:p w:rsidR="00873156" w:rsidRPr="00646C18" w:rsidRDefault="00873156" w:rsidP="00CF680F">
            <w:pPr>
              <w:ind w:left="176"/>
              <w:jc w:val="both"/>
              <w:rPr>
                <w:rFonts w:ascii="Arial" w:eastAsia="Calibri" w:hAnsi="Arial" w:cs="Arial"/>
                <w:sz w:val="22"/>
                <w:szCs w:val="22"/>
              </w:rPr>
            </w:pPr>
            <w:r w:rsidRPr="00646C18">
              <w:rPr>
                <w:rFonts w:ascii="Arial" w:eastAsia="Calibri" w:hAnsi="Arial" w:cs="Arial"/>
                <w:sz w:val="22"/>
                <w:szCs w:val="22"/>
              </w:rPr>
              <w:t xml:space="preserve"> Η παράδοση των ελεγμένων οικονομικών καταστάσεων της έκθεσης ελέγχου και των πιστοποιητικών πρέπει να γίνει μέσα σε 30 εργάσιμες ημέρες</w:t>
            </w:r>
            <w:r w:rsidRPr="00646C18">
              <w:rPr>
                <w:rFonts w:ascii="Arial" w:hAnsi="Arial" w:cs="Arial"/>
                <w:sz w:val="22"/>
                <w:szCs w:val="22"/>
              </w:rPr>
              <w:t>.</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r w:rsidR="00873156" w:rsidRPr="00646C18" w:rsidTr="00646C18">
        <w:trPr>
          <w:trHeight w:val="227"/>
        </w:trPr>
        <w:tc>
          <w:tcPr>
            <w:tcW w:w="0" w:type="auto"/>
          </w:tcPr>
          <w:p w:rsidR="00873156" w:rsidRPr="00646C18" w:rsidRDefault="00873156" w:rsidP="00CF680F">
            <w:pPr>
              <w:jc w:val="both"/>
              <w:rPr>
                <w:rFonts w:ascii="Arial" w:eastAsia="Calibri" w:hAnsi="Arial" w:cs="Arial"/>
                <w:sz w:val="22"/>
                <w:szCs w:val="22"/>
              </w:rPr>
            </w:pPr>
          </w:p>
        </w:tc>
        <w:tc>
          <w:tcPr>
            <w:tcW w:w="5882" w:type="dxa"/>
          </w:tcPr>
          <w:p w:rsidR="00873156" w:rsidRPr="00646C18" w:rsidRDefault="00873156" w:rsidP="00CF680F">
            <w:pPr>
              <w:jc w:val="both"/>
              <w:rPr>
                <w:rFonts w:ascii="Arial" w:eastAsia="Calibri" w:hAnsi="Arial" w:cs="Arial"/>
                <w:b/>
                <w:sz w:val="22"/>
                <w:szCs w:val="22"/>
              </w:rPr>
            </w:pPr>
            <w:r w:rsidRPr="00646C18">
              <w:rPr>
                <w:rFonts w:ascii="Arial" w:hAnsi="Arial" w:cs="Arial"/>
                <w:b/>
                <w:sz w:val="22"/>
                <w:szCs w:val="22"/>
              </w:rPr>
              <w:t>ΣΥΝΟΛΟ ΩΡΩΝ ΑΠΑΣΧΟΛΗΣΗΣ ΑΝΑ ΔΙΑΧΕΙΡΙΣΤΙΚΗ ΧΡΗΣΗ</w:t>
            </w: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c>
          <w:tcPr>
            <w:tcW w:w="0" w:type="auto"/>
          </w:tcPr>
          <w:p w:rsidR="00873156" w:rsidRPr="00646C18" w:rsidRDefault="00873156" w:rsidP="00CF680F">
            <w:pPr>
              <w:jc w:val="both"/>
              <w:rPr>
                <w:rFonts w:ascii="Arial" w:eastAsia="Calibri" w:hAnsi="Arial" w:cs="Arial"/>
                <w:sz w:val="22"/>
                <w:szCs w:val="22"/>
              </w:rPr>
            </w:pPr>
          </w:p>
        </w:tc>
      </w:tr>
    </w:tbl>
    <w:p w:rsidR="00873156" w:rsidRPr="00646C18" w:rsidRDefault="00873156" w:rsidP="00CF680F">
      <w:pPr>
        <w:ind w:left="-851" w:right="-65"/>
        <w:jc w:val="both"/>
        <w:rPr>
          <w:rFonts w:ascii="Arial" w:hAnsi="Arial" w:cs="Arial"/>
          <w:b/>
          <w:sz w:val="22"/>
          <w:szCs w:val="22"/>
        </w:rPr>
      </w:pPr>
    </w:p>
    <w:p w:rsidR="00873156" w:rsidRPr="00646C18" w:rsidRDefault="00873156" w:rsidP="00CF680F">
      <w:pPr>
        <w:ind w:left="-567" w:right="-65"/>
        <w:jc w:val="both"/>
        <w:rPr>
          <w:rFonts w:ascii="Arial" w:hAnsi="Arial" w:cs="Arial"/>
          <w:sz w:val="22"/>
          <w:szCs w:val="22"/>
        </w:rPr>
      </w:pPr>
      <w:r w:rsidRPr="00646C18">
        <w:rPr>
          <w:rFonts w:ascii="Arial" w:hAnsi="Arial" w:cs="Arial"/>
          <w:b/>
          <w:sz w:val="22"/>
          <w:szCs w:val="22"/>
        </w:rPr>
        <w:t>ΟΔΗΓΙΕΣ ΣΥΜΠΛΗΡΩΣΗΣ ΦΥΛΛΩΝ ΣΥΜΜΟΡΦΩΣΗΣ</w:t>
      </w:r>
      <w:r w:rsidRPr="00646C18">
        <w:rPr>
          <w:rFonts w:ascii="Arial" w:hAnsi="Arial" w:cs="Arial"/>
          <w:sz w:val="22"/>
          <w:szCs w:val="22"/>
        </w:rPr>
        <w:t xml:space="preserve"> Στη Στήλη «ΤΕΧΝΙΚΕΣ ΠΡΟΔΙΑΓΡΑΦΕΣ», περιγράφονται αναλυτικά οι αντίστοιχοι τεχνικοί όροι, υποχρεώσεις ή επεξηγήσεις για τα οποία θα πρέπει να δοθούν αντίστοιχες απαντήσεις. Στη στήλη «ΣΥΜΜΟΡΦΩΣΗ» σημειώνεται η απάντηση του Αναδόχου που έχει τη μορφή ΝΑΙ/ΟΧΙ εάν η αντίστοιχη προδιαγραφή πληρούται ή όχι από 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 Στη στήλη «ΠΑΡΑΠΟΜΠΗ» θα καταγραφεί η σαφής παραπομπή σε Παράρτημα της Τεχνικής Προσφοράς το οποίο θα περιλαμβάνει αριθμημένα Τεχνικά Φυλλάδια,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των Πινάκων Συμμόρφωσης στην οποία καταγράφεται η ζητούμενη προδιαγραφή (π.χ. Προδ. 4.18).</w:t>
      </w:r>
    </w:p>
    <w:p w:rsidR="007F00FD" w:rsidRPr="00646C18" w:rsidRDefault="001606BD" w:rsidP="001606BD">
      <w:pPr>
        <w:ind w:left="-567"/>
        <w:rPr>
          <w:rFonts w:ascii="Arial" w:hAnsi="Arial" w:cs="Arial"/>
          <w:sz w:val="22"/>
          <w:szCs w:val="22"/>
        </w:rPr>
      </w:pPr>
      <w:r w:rsidRPr="00646C18">
        <w:rPr>
          <w:rFonts w:ascii="Arial" w:hAnsi="Arial" w:cs="Arial"/>
          <w:sz w:val="22"/>
          <w:szCs w:val="22"/>
        </w:rPr>
        <w:t xml:space="preserve">Προϋπολογισθείσα δαπάνη για ένα έτος  </w:t>
      </w:r>
      <w:r w:rsidR="00431C6E" w:rsidRPr="00646C18">
        <w:rPr>
          <w:rFonts w:ascii="Arial" w:hAnsi="Arial" w:cs="Arial"/>
          <w:b/>
          <w:sz w:val="22"/>
          <w:szCs w:val="22"/>
        </w:rPr>
        <w:t>2.666,00</w:t>
      </w:r>
      <w:r w:rsidRPr="00646C18">
        <w:rPr>
          <w:rFonts w:ascii="Arial" w:hAnsi="Arial" w:cs="Arial"/>
          <w:sz w:val="22"/>
          <w:szCs w:val="22"/>
        </w:rPr>
        <w:t>€ βάσει  της πρ</w:t>
      </w:r>
      <w:r w:rsidR="00C4034D" w:rsidRPr="00646C18">
        <w:rPr>
          <w:rFonts w:ascii="Arial" w:hAnsi="Arial" w:cs="Arial"/>
          <w:sz w:val="22"/>
          <w:szCs w:val="22"/>
        </w:rPr>
        <w:t>οηγούμενης σύμβασης 27356/2021</w:t>
      </w:r>
      <w:r w:rsidR="00B90778">
        <w:rPr>
          <w:rFonts w:ascii="Arial" w:hAnsi="Arial" w:cs="Arial"/>
          <w:sz w:val="22"/>
          <w:szCs w:val="22"/>
        </w:rPr>
        <w:t>.</w:t>
      </w:r>
    </w:p>
    <w:p w:rsidR="001606BD" w:rsidRPr="00646C18" w:rsidRDefault="001606BD" w:rsidP="001606BD">
      <w:pPr>
        <w:rPr>
          <w:rFonts w:ascii="Arial" w:hAnsi="Arial" w:cs="Arial"/>
          <w:sz w:val="22"/>
          <w:szCs w:val="22"/>
        </w:rPr>
      </w:pPr>
    </w:p>
    <w:p w:rsidR="001606BD" w:rsidRPr="00646C18" w:rsidRDefault="001606BD" w:rsidP="001606BD">
      <w:pPr>
        <w:rPr>
          <w:rFonts w:ascii="Arial" w:hAnsi="Arial" w:cs="Arial"/>
          <w:sz w:val="22"/>
          <w:szCs w:val="22"/>
        </w:rPr>
      </w:pPr>
    </w:p>
    <w:p w:rsidR="001606BD" w:rsidRPr="00646C18" w:rsidRDefault="001606BD" w:rsidP="001606BD">
      <w:pPr>
        <w:rPr>
          <w:rFonts w:ascii="Arial" w:hAnsi="Arial" w:cs="Arial"/>
          <w:sz w:val="22"/>
          <w:szCs w:val="22"/>
        </w:rPr>
      </w:pPr>
    </w:p>
    <w:sectPr w:rsidR="001606BD" w:rsidRPr="00646C18" w:rsidSect="00CD7037">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2695"/>
    <w:multiLevelType w:val="hybridMultilevel"/>
    <w:tmpl w:val="BFEC326E"/>
    <w:lvl w:ilvl="0" w:tplc="D5B4E14C">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1">
    <w:nsid w:val="610C5B8D"/>
    <w:multiLevelType w:val="hybridMultilevel"/>
    <w:tmpl w:val="82D46D06"/>
    <w:lvl w:ilvl="0" w:tplc="3A7ADBCA">
      <w:start w:val="1"/>
      <w:numFmt w:val="decimal"/>
      <w:lvlText w:val="%1)"/>
      <w:lvlJc w:val="left"/>
      <w:pPr>
        <w:ind w:left="4695" w:hanging="360"/>
      </w:pPr>
      <w:rPr>
        <w:rFonts w:hint="default"/>
      </w:rPr>
    </w:lvl>
    <w:lvl w:ilvl="1" w:tplc="04080019" w:tentative="1">
      <w:start w:val="1"/>
      <w:numFmt w:val="lowerLetter"/>
      <w:lvlText w:val="%2."/>
      <w:lvlJc w:val="left"/>
      <w:pPr>
        <w:ind w:left="5415" w:hanging="360"/>
      </w:pPr>
    </w:lvl>
    <w:lvl w:ilvl="2" w:tplc="0408001B" w:tentative="1">
      <w:start w:val="1"/>
      <w:numFmt w:val="lowerRoman"/>
      <w:lvlText w:val="%3."/>
      <w:lvlJc w:val="right"/>
      <w:pPr>
        <w:ind w:left="6135" w:hanging="180"/>
      </w:pPr>
    </w:lvl>
    <w:lvl w:ilvl="3" w:tplc="0408000F" w:tentative="1">
      <w:start w:val="1"/>
      <w:numFmt w:val="decimal"/>
      <w:lvlText w:val="%4."/>
      <w:lvlJc w:val="left"/>
      <w:pPr>
        <w:ind w:left="6855" w:hanging="360"/>
      </w:pPr>
    </w:lvl>
    <w:lvl w:ilvl="4" w:tplc="04080019" w:tentative="1">
      <w:start w:val="1"/>
      <w:numFmt w:val="lowerLetter"/>
      <w:lvlText w:val="%5."/>
      <w:lvlJc w:val="left"/>
      <w:pPr>
        <w:ind w:left="7575" w:hanging="360"/>
      </w:pPr>
    </w:lvl>
    <w:lvl w:ilvl="5" w:tplc="0408001B" w:tentative="1">
      <w:start w:val="1"/>
      <w:numFmt w:val="lowerRoman"/>
      <w:lvlText w:val="%6."/>
      <w:lvlJc w:val="right"/>
      <w:pPr>
        <w:ind w:left="8295" w:hanging="180"/>
      </w:pPr>
    </w:lvl>
    <w:lvl w:ilvl="6" w:tplc="0408000F" w:tentative="1">
      <w:start w:val="1"/>
      <w:numFmt w:val="decimal"/>
      <w:lvlText w:val="%7."/>
      <w:lvlJc w:val="left"/>
      <w:pPr>
        <w:ind w:left="9015" w:hanging="360"/>
      </w:pPr>
    </w:lvl>
    <w:lvl w:ilvl="7" w:tplc="04080019" w:tentative="1">
      <w:start w:val="1"/>
      <w:numFmt w:val="lowerLetter"/>
      <w:lvlText w:val="%8."/>
      <w:lvlJc w:val="left"/>
      <w:pPr>
        <w:ind w:left="9735" w:hanging="360"/>
      </w:pPr>
    </w:lvl>
    <w:lvl w:ilvl="8" w:tplc="0408001B" w:tentative="1">
      <w:start w:val="1"/>
      <w:numFmt w:val="lowerRoman"/>
      <w:lvlText w:val="%9."/>
      <w:lvlJc w:val="right"/>
      <w:pPr>
        <w:ind w:left="104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73156"/>
    <w:rsid w:val="000D12DE"/>
    <w:rsid w:val="001606BD"/>
    <w:rsid w:val="00340505"/>
    <w:rsid w:val="003473D4"/>
    <w:rsid w:val="0038068C"/>
    <w:rsid w:val="003F1C04"/>
    <w:rsid w:val="00431C6E"/>
    <w:rsid w:val="00476F28"/>
    <w:rsid w:val="004F3C3F"/>
    <w:rsid w:val="00587DAD"/>
    <w:rsid w:val="005F3688"/>
    <w:rsid w:val="00614062"/>
    <w:rsid w:val="00646C18"/>
    <w:rsid w:val="007F00FD"/>
    <w:rsid w:val="00873156"/>
    <w:rsid w:val="00873877"/>
    <w:rsid w:val="008C0899"/>
    <w:rsid w:val="008F52F7"/>
    <w:rsid w:val="00A50B2F"/>
    <w:rsid w:val="00A64178"/>
    <w:rsid w:val="00B174D5"/>
    <w:rsid w:val="00B8439C"/>
    <w:rsid w:val="00B90778"/>
    <w:rsid w:val="00BD07D3"/>
    <w:rsid w:val="00C4034D"/>
    <w:rsid w:val="00CD67D2"/>
    <w:rsid w:val="00CD7037"/>
    <w:rsid w:val="00CE5312"/>
    <w:rsid w:val="00CF680F"/>
    <w:rsid w:val="00D302DC"/>
    <w:rsid w:val="00E30130"/>
    <w:rsid w:val="00F2375D"/>
    <w:rsid w:val="00FE1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56"/>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1088</Words>
  <Characters>5876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KitsiE</dc:creator>
  <cp:lastModifiedBy>TsatsaroniM</cp:lastModifiedBy>
  <cp:revision>14</cp:revision>
  <dcterms:created xsi:type="dcterms:W3CDTF">2021-08-27T05:25:00Z</dcterms:created>
  <dcterms:modified xsi:type="dcterms:W3CDTF">2021-10-19T05:11:00Z</dcterms:modified>
</cp:coreProperties>
</file>